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1" w:type="pct"/>
        <w:tblCellMar>
          <w:left w:w="0" w:type="dxa"/>
          <w:right w:w="0" w:type="dxa"/>
        </w:tblCellMar>
        <w:tblLook w:val="01E0" w:firstRow="1" w:lastRow="1" w:firstColumn="1" w:lastColumn="1" w:noHBand="0" w:noVBand="0"/>
      </w:tblPr>
      <w:tblGrid>
        <w:gridCol w:w="6737"/>
        <w:gridCol w:w="205"/>
        <w:gridCol w:w="2676"/>
      </w:tblGrid>
      <w:tr w:rsidR="00F00CE6" w:rsidRPr="00F77441" w14:paraId="011BE5B9" w14:textId="77777777" w:rsidTr="00FF5C59">
        <w:trPr>
          <w:trHeight w:val="617"/>
        </w:trPr>
        <w:tc>
          <w:tcPr>
            <w:tcW w:w="6737" w:type="dxa"/>
            <w:vMerge w:val="restart"/>
            <w:tcMar>
              <w:top w:w="0" w:type="dxa"/>
              <w:left w:w="0" w:type="dxa"/>
              <w:bottom w:w="76" w:type="dxa"/>
            </w:tcMar>
          </w:tcPr>
          <w:p w14:paraId="23E5FD1B" w14:textId="0DB74431" w:rsidR="00F00CE6" w:rsidRPr="00F77441" w:rsidRDefault="004F5596" w:rsidP="008D4210">
            <w:r w:rsidRPr="004F5596">
              <w:rPr>
                <w:noProof/>
                <w:lang w:eastAsia="tr-TR"/>
              </w:rPr>
              <w:drawing>
                <wp:inline distT="0" distB="0" distL="0" distR="0" wp14:anchorId="6D34F1D5" wp14:editId="61EFD0FC">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492BC355" w14:textId="77777777" w:rsidR="00F00CE6" w:rsidRPr="00F77441" w:rsidRDefault="00F00CE6" w:rsidP="008D4210">
            <w:r w:rsidRPr="008A55AD">
              <w:rPr>
                <w:noProof/>
                <w:lang w:eastAsia="tr-TR"/>
              </w:rPr>
              <mc:AlternateContent>
                <mc:Choice Requires="wps">
                  <w:drawing>
                    <wp:anchor distT="0" distB="0" distL="114300" distR="114300" simplePos="0" relativeHeight="251659264" behindDoc="1" locked="0" layoutInCell="1" allowOverlap="1" wp14:anchorId="61B61A6B" wp14:editId="22206220">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cx="http://schemas.microsoft.com/office/drawing/2014/chartex" xmlns:cx1="http://schemas.microsoft.com/office/drawing/2015/9/8/chartex"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CABCB30"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EF17B82" w14:textId="77777777" w:rsidR="00F00CE6" w:rsidRPr="00F77441" w:rsidRDefault="00F00CE6" w:rsidP="008D4210">
            <w:pPr>
              <w:spacing w:line="360" w:lineRule="exact"/>
              <w:rPr>
                <w:rFonts w:ascii="ING Me" w:hAnsi="ING Me"/>
                <w:b/>
                <w:sz w:val="30"/>
                <w:szCs w:val="30"/>
              </w:rPr>
            </w:pPr>
            <w:r w:rsidRPr="00F77441">
              <w:rPr>
                <w:rFonts w:ascii="ING Me" w:hAnsi="ING Me"/>
                <w:b/>
                <w:color w:val="FFFFFF" w:themeColor="background1"/>
                <w:sz w:val="30"/>
                <w:szCs w:val="30"/>
              </w:rPr>
              <w:t>Basın Bülteni</w:t>
            </w:r>
          </w:p>
        </w:tc>
      </w:tr>
      <w:tr w:rsidR="00F00CE6" w:rsidRPr="00F77441" w14:paraId="2D2EC151" w14:textId="77777777" w:rsidTr="00FF5C59">
        <w:trPr>
          <w:trHeight w:val="240"/>
        </w:trPr>
        <w:tc>
          <w:tcPr>
            <w:tcW w:w="6737" w:type="dxa"/>
            <w:vMerge/>
            <w:tcMar>
              <w:top w:w="0" w:type="dxa"/>
              <w:left w:w="0" w:type="dxa"/>
            </w:tcMar>
            <w:vAlign w:val="bottom"/>
          </w:tcPr>
          <w:p w14:paraId="2648A63A" w14:textId="77777777" w:rsidR="00F00CE6" w:rsidRPr="00F77441" w:rsidRDefault="00F00CE6" w:rsidP="001F4832">
            <w:pPr>
              <w:pStyle w:val="Headingtop"/>
            </w:pPr>
          </w:p>
        </w:tc>
        <w:tc>
          <w:tcPr>
            <w:tcW w:w="2881" w:type="dxa"/>
            <w:gridSpan w:val="2"/>
            <w:vAlign w:val="bottom"/>
          </w:tcPr>
          <w:p w14:paraId="4C1DC581" w14:textId="77777777" w:rsidR="00F00CE6" w:rsidRPr="006F48E9" w:rsidRDefault="00F00CE6" w:rsidP="008D4210">
            <w:pPr>
              <w:pStyle w:val="HeadingDatum"/>
              <w:framePr w:hSpace="0" w:wrap="auto" w:vAnchor="margin" w:hAnchor="text" w:yAlign="inline"/>
              <w:jc w:val="left"/>
              <w:rPr>
                <w:rFonts w:ascii="ING Me" w:hAnsi="ING Me"/>
                <w:b/>
                <w:sz w:val="18"/>
                <w:szCs w:val="18"/>
                <w:lang w:val="tr-TR"/>
              </w:rPr>
            </w:pPr>
            <w:r w:rsidRPr="006F48E9">
              <w:rPr>
                <w:rFonts w:ascii="ING Me" w:hAnsi="ING Me"/>
                <w:b/>
                <w:color w:val="44546A" w:themeColor="text2"/>
                <w:sz w:val="18"/>
                <w:szCs w:val="18"/>
                <w:lang w:val="tr-TR"/>
              </w:rPr>
              <w:t xml:space="preserve">İletişim ve Marka Deneyimi Grubu </w:t>
            </w:r>
          </w:p>
        </w:tc>
      </w:tr>
      <w:tr w:rsidR="00F00CE6" w:rsidRPr="00F77441" w14:paraId="6D438B7E" w14:textId="77777777" w:rsidTr="00FF5C59">
        <w:trPr>
          <w:trHeight w:val="321"/>
        </w:trPr>
        <w:tc>
          <w:tcPr>
            <w:tcW w:w="6737" w:type="dxa"/>
            <w:vMerge/>
            <w:tcMar>
              <w:top w:w="0" w:type="dxa"/>
              <w:left w:w="0" w:type="dxa"/>
            </w:tcMar>
            <w:vAlign w:val="bottom"/>
          </w:tcPr>
          <w:p w14:paraId="75BAFB51" w14:textId="77777777" w:rsidR="00F00CE6" w:rsidRPr="00F77441" w:rsidRDefault="00F00CE6" w:rsidP="001F4832">
            <w:pPr>
              <w:pStyle w:val="Headingtop"/>
            </w:pPr>
          </w:p>
        </w:tc>
        <w:tc>
          <w:tcPr>
            <w:tcW w:w="2881" w:type="dxa"/>
            <w:gridSpan w:val="2"/>
            <w:vAlign w:val="bottom"/>
          </w:tcPr>
          <w:p w14:paraId="214849CA" w14:textId="588242E9" w:rsidR="00F00CE6" w:rsidRPr="006F48E9" w:rsidRDefault="00F00CE6" w:rsidP="00992437">
            <w:pPr>
              <w:pStyle w:val="HeadingDatum"/>
              <w:framePr w:hSpace="0" w:wrap="auto" w:vAnchor="margin" w:hAnchor="text" w:yAlign="inline"/>
              <w:jc w:val="left"/>
              <w:rPr>
                <w:rFonts w:ascii="ING Me" w:hAnsi="ING Me"/>
                <w:sz w:val="18"/>
                <w:szCs w:val="18"/>
                <w:lang w:val="tr-TR"/>
              </w:rPr>
            </w:pPr>
            <w:r w:rsidRPr="008C51EE">
              <w:rPr>
                <w:rFonts w:ascii="ING Me" w:hAnsi="ING Me"/>
                <w:sz w:val="18"/>
                <w:szCs w:val="18"/>
                <w:lang w:val="tr-TR"/>
              </w:rPr>
              <w:t>İstanbul,</w:t>
            </w:r>
            <w:r w:rsidR="00EE6F6C" w:rsidRPr="008C51EE">
              <w:rPr>
                <w:rFonts w:ascii="ING Me" w:hAnsi="ING Me"/>
                <w:sz w:val="18"/>
                <w:szCs w:val="18"/>
                <w:lang w:val="tr-TR"/>
              </w:rPr>
              <w:t xml:space="preserve"> </w:t>
            </w:r>
            <w:r w:rsidR="00E52510">
              <w:rPr>
                <w:rFonts w:ascii="ING Me" w:hAnsi="ING Me"/>
                <w:sz w:val="18"/>
                <w:szCs w:val="18"/>
                <w:lang w:val="tr-TR"/>
              </w:rPr>
              <w:t>0</w:t>
            </w:r>
            <w:r w:rsidR="00992437">
              <w:rPr>
                <w:rFonts w:ascii="ING Me" w:hAnsi="ING Me"/>
                <w:sz w:val="18"/>
                <w:szCs w:val="18"/>
                <w:lang w:val="tr-TR"/>
              </w:rPr>
              <w:t>9</w:t>
            </w:r>
            <w:r w:rsidR="00E52510">
              <w:rPr>
                <w:rFonts w:ascii="ING Me" w:hAnsi="ING Me"/>
                <w:sz w:val="18"/>
                <w:szCs w:val="18"/>
                <w:lang w:val="tr-TR"/>
              </w:rPr>
              <w:t xml:space="preserve"> Mart</w:t>
            </w:r>
            <w:r w:rsidR="009E1415" w:rsidRPr="008C51EE">
              <w:rPr>
                <w:rFonts w:ascii="ING Me" w:hAnsi="ING Me"/>
                <w:sz w:val="18"/>
                <w:szCs w:val="18"/>
                <w:lang w:val="tr-TR"/>
              </w:rPr>
              <w:t xml:space="preserve"> 2020</w:t>
            </w:r>
          </w:p>
        </w:tc>
      </w:tr>
    </w:tbl>
    <w:p w14:paraId="6101091A" w14:textId="77777777" w:rsidR="00E06A03" w:rsidRDefault="00E06A03" w:rsidP="002A4461">
      <w:pPr>
        <w:shd w:val="clear" w:color="auto" w:fill="FFFFFF"/>
        <w:spacing w:after="0" w:line="240" w:lineRule="auto"/>
        <w:rPr>
          <w:rFonts w:ascii="ING Me" w:eastAsia="Times New Roman" w:hAnsi="ING Me" w:cs="Arial"/>
          <w:b/>
          <w:bCs/>
          <w:color w:val="222222"/>
          <w:sz w:val="36"/>
          <w:szCs w:val="36"/>
          <w:lang w:eastAsia="tr-TR"/>
        </w:rPr>
      </w:pPr>
    </w:p>
    <w:p w14:paraId="5240D405" w14:textId="77777777" w:rsidR="00E52510" w:rsidRPr="00E52510" w:rsidRDefault="00E52510" w:rsidP="00E52510">
      <w:pPr>
        <w:shd w:val="clear" w:color="auto" w:fill="FFFFFF"/>
        <w:spacing w:after="0" w:line="240" w:lineRule="auto"/>
        <w:rPr>
          <w:rFonts w:ascii="Times New Roman" w:eastAsia="Times New Roman" w:hAnsi="Times New Roman" w:cs="Times New Roman"/>
          <w:color w:val="222222"/>
          <w:sz w:val="24"/>
          <w:szCs w:val="24"/>
          <w:lang w:eastAsia="tr-TR"/>
        </w:rPr>
      </w:pPr>
      <w:r w:rsidRPr="00E52510">
        <w:rPr>
          <w:rFonts w:ascii="Times New Roman" w:eastAsia="Times New Roman" w:hAnsi="Times New Roman" w:cs="Times New Roman"/>
          <w:color w:val="222222"/>
          <w:sz w:val="24"/>
          <w:szCs w:val="24"/>
          <w:lang w:eastAsia="tr-TR"/>
        </w:rPr>
        <w:t> </w:t>
      </w:r>
    </w:p>
    <w:p w14:paraId="1ADE0E9D" w14:textId="77777777" w:rsidR="00992437" w:rsidRPr="00992437" w:rsidRDefault="00992437" w:rsidP="00992437">
      <w:pPr>
        <w:shd w:val="clear" w:color="auto" w:fill="FFFFFF"/>
        <w:spacing w:after="0" w:line="240" w:lineRule="auto"/>
        <w:jc w:val="center"/>
        <w:rPr>
          <w:rFonts w:ascii="Arial" w:eastAsia="Times New Roman" w:hAnsi="Arial" w:cs="Arial"/>
          <w:color w:val="222222"/>
          <w:sz w:val="24"/>
          <w:szCs w:val="24"/>
          <w:lang w:eastAsia="tr-TR"/>
        </w:rPr>
      </w:pPr>
      <w:r w:rsidRPr="00992437">
        <w:rPr>
          <w:rFonts w:ascii="ING Me" w:eastAsia="Times New Roman" w:hAnsi="ING Me" w:cs="Arial"/>
          <w:b/>
          <w:bCs/>
          <w:color w:val="222222"/>
          <w:sz w:val="36"/>
          <w:szCs w:val="36"/>
          <w:lang w:eastAsia="tr-TR"/>
        </w:rPr>
        <w:t>TÜRKİYE’DE YAKIN GELECEKTE TASARRUF YAPMAYI PLANLAYANLARIN ORANI %34.4’E ULAŞTI</w:t>
      </w:r>
    </w:p>
    <w:p w14:paraId="53E37021" w14:textId="77777777" w:rsidR="00992437" w:rsidRPr="00992437" w:rsidRDefault="00992437" w:rsidP="00992437">
      <w:pPr>
        <w:shd w:val="clear" w:color="auto" w:fill="FFFFFF"/>
        <w:spacing w:after="0" w:line="240" w:lineRule="auto"/>
        <w:jc w:val="center"/>
        <w:rPr>
          <w:rFonts w:ascii="Arial" w:eastAsia="Times New Roman" w:hAnsi="Arial" w:cs="Arial"/>
          <w:color w:val="222222"/>
          <w:sz w:val="24"/>
          <w:szCs w:val="24"/>
          <w:lang w:eastAsia="tr-TR"/>
        </w:rPr>
      </w:pPr>
      <w:r w:rsidRPr="00992437">
        <w:rPr>
          <w:rFonts w:ascii="Arial" w:eastAsia="Times New Roman" w:hAnsi="Arial" w:cs="Arial"/>
          <w:color w:val="222222"/>
          <w:sz w:val="24"/>
          <w:szCs w:val="24"/>
          <w:lang w:eastAsia="tr-TR"/>
        </w:rPr>
        <w:t> </w:t>
      </w:r>
    </w:p>
    <w:p w14:paraId="57518CAF" w14:textId="77777777" w:rsidR="00992437" w:rsidRPr="00992437" w:rsidRDefault="00992437" w:rsidP="00992437">
      <w:pPr>
        <w:shd w:val="clear" w:color="auto" w:fill="FFFFFF"/>
        <w:spacing w:after="0" w:line="293" w:lineRule="atLeast"/>
        <w:jc w:val="center"/>
        <w:rPr>
          <w:rFonts w:ascii="Arial" w:eastAsia="Times New Roman" w:hAnsi="Arial" w:cs="Arial"/>
          <w:color w:val="222222"/>
          <w:sz w:val="24"/>
          <w:szCs w:val="24"/>
          <w:lang w:eastAsia="tr-TR"/>
        </w:rPr>
      </w:pPr>
      <w:r w:rsidRPr="00992437">
        <w:rPr>
          <w:rFonts w:ascii="ING Me" w:eastAsia="Times New Roman" w:hAnsi="ING Me" w:cs="Arial"/>
          <w:b/>
          <w:bCs/>
          <w:color w:val="222222"/>
          <w:sz w:val="24"/>
          <w:szCs w:val="24"/>
          <w:lang w:eastAsia="tr-TR"/>
        </w:rPr>
        <w:t>ING Türkiye, Türkiye’nin Tasarruf Eğilimleri Araştırması’nın (TTEA) 2019 yılı dördüncü çeyrek sonuçlarını açıkladı. Tasarruf sahipliği oranı yüzde 13 olarak gerçekleşirken, yakın gelecekte tasarruf yapmayı planlayanların oranı, son 3 yılın en yüksek seviyesine çıkarak yüzde 27.7’den yüzde 34.4’e yükseldi. ING Türkiye Bireysel Bankacılık Genel Müdür Yardımcısı Alper Gökgöz, lider tasarruf bankası olma hedefiyle yenilikçi ürün ve hizmetler sunmaya ve böylece tasarruf etme eğilimini desteklemeye devam edeceklerini vurguladı.</w:t>
      </w:r>
    </w:p>
    <w:p w14:paraId="6E8F0896" w14:textId="77777777" w:rsidR="00992437" w:rsidRPr="00992437" w:rsidRDefault="00992437" w:rsidP="00992437">
      <w:pPr>
        <w:shd w:val="clear" w:color="auto" w:fill="FFFFFF"/>
        <w:spacing w:after="0" w:line="293" w:lineRule="atLeast"/>
        <w:jc w:val="center"/>
        <w:rPr>
          <w:rFonts w:ascii="Arial" w:eastAsia="Times New Roman" w:hAnsi="Arial" w:cs="Arial"/>
          <w:color w:val="222222"/>
          <w:sz w:val="24"/>
          <w:szCs w:val="24"/>
          <w:lang w:eastAsia="tr-TR"/>
        </w:rPr>
      </w:pPr>
      <w:r w:rsidRPr="00992437">
        <w:rPr>
          <w:rFonts w:ascii="ING Me" w:eastAsia="Times New Roman" w:hAnsi="ING Me" w:cs="Arial"/>
          <w:b/>
          <w:bCs/>
          <w:color w:val="222222"/>
          <w:sz w:val="24"/>
          <w:szCs w:val="24"/>
          <w:lang w:eastAsia="tr-TR"/>
        </w:rPr>
        <w:t> </w:t>
      </w:r>
    </w:p>
    <w:p w14:paraId="00495BBB" w14:textId="77777777" w:rsidR="00992437" w:rsidRPr="00992437" w:rsidRDefault="00992437" w:rsidP="00992437">
      <w:pPr>
        <w:shd w:val="clear" w:color="auto" w:fill="FFFFFF"/>
        <w:spacing w:after="0" w:line="293" w:lineRule="atLeast"/>
        <w:jc w:val="center"/>
        <w:rPr>
          <w:rFonts w:ascii="Arial" w:eastAsia="Times New Roman" w:hAnsi="Arial" w:cs="Arial"/>
          <w:color w:val="222222"/>
          <w:sz w:val="24"/>
          <w:szCs w:val="24"/>
          <w:lang w:eastAsia="tr-TR"/>
        </w:rPr>
      </w:pPr>
      <w:r w:rsidRPr="00992437">
        <w:rPr>
          <w:rFonts w:ascii="Arial" w:eastAsia="Times New Roman" w:hAnsi="Arial" w:cs="Arial"/>
          <w:color w:val="222222"/>
          <w:sz w:val="24"/>
          <w:szCs w:val="24"/>
          <w:lang w:eastAsia="tr-TR"/>
        </w:rPr>
        <w:t> </w:t>
      </w:r>
    </w:p>
    <w:p w14:paraId="1950C484"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ING Türkiye, Türkiye’de kentsel yerleşim yerlerinde yaşayan yetişkin bireylerin tasarruf eğilimlerini izlemek amacıyla IPSOS işbirliğiyle 2011 yılının Ekim ayından bu yana yürüttüğü Türkiye’nin Tasarruf Eğilimleri Araştırması’nın (TTEA) 2019 dördüncü çeyrek sonuçlarını açıkladı. Araştırmaya göre; yılın son çeyreği itibarıyla tasarruf sahipliği oranı yüzde 13 olarak gerçekleşti. Türkiye’nin Tasarruf Eğilimleri Araştırması, yakın gelecekte tasarruf yapmayı planlayanların oranının yılın son çeyreğinde hızlı bir yükselişle son 3 yılın en yüksek seviyesine çıktığını ve yüzde 27.7’den yüzde 34.4’e ulaştığını ortaya koydu.</w:t>
      </w:r>
    </w:p>
    <w:p w14:paraId="4A8FBC8B"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w:t>
      </w:r>
    </w:p>
    <w:p w14:paraId="0740F85F"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Son çeyrekte tasarruf enstrümanları içinde “bireysel emeklilik fonları” 2018 yılı sonundan bu yana belirginleşen düşüş eğilimini sürdürdü ve payı yüzde 27’den yüzde 24’e geriledi. Tasarruf enstrümanları arasında tercihin daha çok yastık altı altın ve nakit (yüzde 18), sistem içi altın (yüzde 15), vadesiz hesaplar (yüzde 11) hisse senetlerine (yüzde 5) doğru yöneldiği gözlemlendi.</w:t>
      </w:r>
    </w:p>
    <w:p w14:paraId="62851253"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w:t>
      </w:r>
    </w:p>
    <w:p w14:paraId="261CF4BD"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b/>
          <w:bCs/>
          <w:color w:val="222222"/>
          <w:sz w:val="24"/>
          <w:szCs w:val="24"/>
          <w:lang w:eastAsia="tr-TR"/>
        </w:rPr>
        <w:t>Tasarruf sahipleri arasında gençlerin payı artıyor</w:t>
      </w:r>
    </w:p>
    <w:p w14:paraId="3FE5B06E"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Times New Roman" w:eastAsia="Times New Roman" w:hAnsi="Times New Roman" w:cs="Times New Roman"/>
          <w:color w:val="222222"/>
          <w:sz w:val="24"/>
          <w:szCs w:val="24"/>
          <w:lang w:eastAsia="tr-TR"/>
        </w:rPr>
        <w:t> </w:t>
      </w:r>
    </w:p>
    <w:p w14:paraId="69AE4785"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Araştırmada tasarruf sahiplerinin yaş dağılımına göre en dikkat çekici değişim 18-24 yaş grubunda gözlendi. İkinci çeyrekte yüzde 14 olan bu grubun payı, üçüncü çeyrekte yüzde 17’ye, son çeyrekte ise yüzde 19’a yükseldi.  Yılın son çeyreğinde çoğu yetişkin yaş grubunda ise tasarruf sahipliğinde düşüş gerçekleşti.</w:t>
      </w:r>
    </w:p>
    <w:p w14:paraId="5DFAB82B"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w:t>
      </w:r>
    </w:p>
    <w:p w14:paraId="76783750"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xml:space="preserve">2019’un son çeyreğinde, çocuklu ve çocuksuz bireylerin tasarruf sahipliği oranlarında bir yol ayrımı gözlendi. Çocuksuz bireylerde tasarruf etme durumu ivme yaparak 2 puan artışla yüzde 18’e çıktı. Öte yandan, çocuklu bireylerde tasarruf sahibi olanların oranı yüzde 12’den yüzde 11’e geriledi. Diğer bir deyişle, çocuksuz ve çocuklu </w:t>
      </w:r>
      <w:r w:rsidRPr="00992437">
        <w:rPr>
          <w:rFonts w:ascii="ING Me" w:eastAsia="Times New Roman" w:hAnsi="ING Me" w:cs="Arial"/>
          <w:color w:val="222222"/>
          <w:sz w:val="24"/>
          <w:szCs w:val="24"/>
          <w:lang w:eastAsia="tr-TR"/>
        </w:rPr>
        <w:lastRenderedPageBreak/>
        <w:t>bireylerin tasarruf sahipliği arasında 3’üncü çeyrekte 4 puanlık bir fark bulunurken, bu fark son çeyrekte 7 puana kadar yükseldi. Tasarrufu olmayan çocuklu bireylerin yakın gelecekte tasarruf yapma niyetinde ise 11 puanlık önemli bir artış dikkat çekti.</w:t>
      </w:r>
    </w:p>
    <w:p w14:paraId="7CEEF544"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w:t>
      </w:r>
    </w:p>
    <w:p w14:paraId="76441F9F"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b/>
          <w:bCs/>
          <w:color w:val="222222"/>
          <w:sz w:val="24"/>
          <w:szCs w:val="24"/>
          <w:lang w:eastAsia="tr-TR"/>
        </w:rPr>
        <w:t>ING Türkiye Bireysel Bankacılık Genel Müdür Yardımcısı Alper Gökgöz: “Lider tasarruf bankası olma hedefiyle çalışıyoruz”</w:t>
      </w:r>
    </w:p>
    <w:p w14:paraId="2E7E0296" w14:textId="77777777" w:rsidR="00992437" w:rsidRPr="00992437" w:rsidRDefault="00992437" w:rsidP="00992437">
      <w:pPr>
        <w:shd w:val="clear" w:color="auto" w:fill="FFFFFF"/>
        <w:spacing w:after="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 </w:t>
      </w:r>
    </w:p>
    <w:p w14:paraId="3335F6A8" w14:textId="77777777" w:rsidR="00992437" w:rsidRPr="00992437" w:rsidRDefault="00992437" w:rsidP="00992437">
      <w:pPr>
        <w:shd w:val="clear" w:color="auto" w:fill="FFFFFF"/>
        <w:spacing w:after="10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222222"/>
          <w:sz w:val="24"/>
          <w:szCs w:val="24"/>
          <w:lang w:eastAsia="tr-TR"/>
        </w:rPr>
        <w:t>ING Türkiye Bireysel Bankacılık Genel Müdür Yardımcısı Alper Gökgöz, ING olarak Türkiye’nin lider tasarruf bankası olma hedefiyle çalışmalarını sürdürdüklerini vurgulayarak şöyle konuştu: “Tasarruf oranının artmasında finansal okuryazarlığın ve tasarrufa teşvik eden yeni ürün ve hizmetlerin etkili olduğunu görüyoruz.</w:t>
      </w:r>
      <w:r w:rsidRPr="00992437">
        <w:rPr>
          <w:rFonts w:ascii="ING Me" w:eastAsia="Times New Roman" w:hAnsi="ING Me" w:cs="Arial"/>
          <w:color w:val="1F497D"/>
          <w:sz w:val="24"/>
          <w:szCs w:val="24"/>
          <w:lang w:eastAsia="tr-TR"/>
        </w:rPr>
        <w:t> </w:t>
      </w:r>
      <w:r w:rsidRPr="00992437">
        <w:rPr>
          <w:rFonts w:ascii="ING Me" w:eastAsia="Times New Roman" w:hAnsi="ING Me" w:cs="Arial"/>
          <w:color w:val="222222"/>
          <w:sz w:val="24"/>
          <w:szCs w:val="24"/>
          <w:lang w:eastAsia="tr-TR"/>
        </w:rPr>
        <w:t>Müşterilerimize sunduğumuz Turuncu Ekstra ile alışverişlerde pek çok avantajın yanı sıra Turuncu Hesaplarda daha yüksek faiz, kredi ödemelerinde nakit iade ile düşük taksit ödeme imkanı sunuyoruz. Tasarruf etmek isteyen müşterilerimiz için dijital kanalları kullanarak her zaman daha avantajlı faiz oranı kazandıran e-Turuncu Hesap gibi yeni nesil destek hizmetler kurguladık. Ayrıca Turuncu Hesap ve Turuncu Ekstra ile birikimde alt sınır olmaksızın çok avantajlı faiz oranları sunduğumuzu, ürünlerin esnekliği sayesinde acil  ihtiyaçlarda tasarruf sahiplerinin kazançlarını koruyarak tasarruf yapabildiğini vurgulamak isterim. Tasarrufa yönelik ürün ve hizmetlerimizi çeşitlendirerek, tasarruf etme eğilimini desteklemeye devam edeceğiz.”</w:t>
      </w:r>
    </w:p>
    <w:p w14:paraId="38444D6B" w14:textId="77777777" w:rsidR="00992437" w:rsidRPr="00992437" w:rsidRDefault="00992437" w:rsidP="00992437">
      <w:pPr>
        <w:shd w:val="clear" w:color="auto" w:fill="FFFFFF"/>
        <w:spacing w:after="100" w:line="293" w:lineRule="atLeast"/>
        <w:jc w:val="both"/>
        <w:rPr>
          <w:rFonts w:ascii="Arial" w:eastAsia="Times New Roman" w:hAnsi="Arial" w:cs="Arial"/>
          <w:color w:val="222222"/>
          <w:sz w:val="24"/>
          <w:szCs w:val="24"/>
          <w:lang w:eastAsia="tr-TR"/>
        </w:rPr>
      </w:pPr>
      <w:r w:rsidRPr="00992437">
        <w:rPr>
          <w:rFonts w:ascii="ING Me" w:eastAsia="Times New Roman" w:hAnsi="ING Me" w:cs="Arial"/>
          <w:color w:val="FF0000"/>
          <w:sz w:val="24"/>
          <w:szCs w:val="24"/>
          <w:lang w:eastAsia="tr-TR"/>
        </w:rPr>
        <w:t> </w:t>
      </w:r>
    </w:p>
    <w:p w14:paraId="361BE90F" w14:textId="77777777" w:rsidR="006F02CD" w:rsidRPr="001760E8" w:rsidRDefault="006F02CD" w:rsidP="006F02CD">
      <w:pPr>
        <w:shd w:val="clear" w:color="auto" w:fill="FFFFFF"/>
        <w:spacing w:after="0" w:line="293" w:lineRule="atLeast"/>
        <w:jc w:val="both"/>
        <w:rPr>
          <w:rFonts w:ascii="ING Me" w:eastAsia="Times New Roman" w:hAnsi="ING Me" w:cs="Arial"/>
          <w:sz w:val="24"/>
          <w:szCs w:val="24"/>
          <w:lang w:eastAsia="tr-TR"/>
        </w:rPr>
      </w:pPr>
    </w:p>
    <w:p w14:paraId="23A928B0" w14:textId="426C95DA" w:rsidR="00D876E3" w:rsidRPr="001760E8" w:rsidRDefault="00D876E3" w:rsidP="00D876E3">
      <w:pPr>
        <w:shd w:val="clear" w:color="auto" w:fill="FFFFFF"/>
        <w:jc w:val="both"/>
        <w:rPr>
          <w:rFonts w:ascii="ING Me" w:hAnsi="ING Me" w:cs="Arial"/>
          <w:sz w:val="18"/>
          <w:szCs w:val="18"/>
        </w:rPr>
      </w:pPr>
      <w:r w:rsidRPr="001760E8">
        <w:rPr>
          <w:rStyle w:val="m-4833970025875954642gmail-il"/>
          <w:rFonts w:ascii="ING Me" w:hAnsi="ING Me"/>
          <w:b/>
          <w:bCs/>
          <w:i/>
          <w:iCs/>
          <w:sz w:val="18"/>
          <w:szCs w:val="18"/>
          <w:u w:val="single"/>
        </w:rPr>
        <w:t>ING</w:t>
      </w:r>
      <w:r w:rsidRPr="001760E8">
        <w:rPr>
          <w:rFonts w:ascii="ING Me" w:hAnsi="ING Me" w:cs="Arial"/>
          <w:b/>
          <w:bCs/>
          <w:i/>
          <w:iCs/>
          <w:sz w:val="18"/>
          <w:szCs w:val="18"/>
          <w:u w:val="single"/>
        </w:rPr>
        <w:t> Türkiye </w:t>
      </w:r>
      <w:r w:rsidRPr="001760E8">
        <w:rPr>
          <w:rStyle w:val="il"/>
          <w:rFonts w:ascii="ING Me" w:hAnsi="ING Me" w:cs="Arial"/>
          <w:b/>
          <w:bCs/>
          <w:i/>
          <w:iCs/>
          <w:sz w:val="18"/>
          <w:szCs w:val="18"/>
          <w:u w:val="single"/>
        </w:rPr>
        <w:t>Hakkında</w:t>
      </w:r>
      <w:r w:rsidRPr="001760E8">
        <w:rPr>
          <w:rFonts w:ascii="ING Me" w:hAnsi="ING Me" w:cs="Arial"/>
          <w:b/>
          <w:bCs/>
          <w:i/>
          <w:iCs/>
          <w:sz w:val="18"/>
          <w:szCs w:val="18"/>
          <w:u w:val="single"/>
        </w:rPr>
        <w:t>:</w:t>
      </w:r>
    </w:p>
    <w:p w14:paraId="2B8ABA96" w14:textId="77777777" w:rsidR="00D876E3" w:rsidRPr="001760E8" w:rsidRDefault="00D876E3" w:rsidP="00D876E3">
      <w:pPr>
        <w:shd w:val="clear" w:color="auto" w:fill="FFFFFF"/>
        <w:spacing w:line="360" w:lineRule="atLeast"/>
        <w:jc w:val="both"/>
        <w:rPr>
          <w:rFonts w:ascii="ING Me" w:hAnsi="ING Me" w:cs="Arial"/>
        </w:rPr>
      </w:pPr>
      <w:r w:rsidRPr="001760E8">
        <w:rPr>
          <w:rFonts w:ascii="ING Me" w:hAnsi="ING Me" w:cs="Arial"/>
          <w:i/>
          <w:iCs/>
          <w:sz w:val="18"/>
          <w:szCs w:val="18"/>
        </w:rPr>
        <w:t>Faaliyetlerini ING Grubu’nun, insanların özel ve iş hayatlarında bir adım önde olmalarını mümkün kılma amacıyla gerçekleştiren ING Türkiye, bankacılık sektörü ve özellikle dijital bankacılıkta öncü adımlar atıyor. ING Türkiye, “Eski Köye Yeni Âdet” sloganıyla inovasyona dayalı bankacılığı ön plana çıkarıyor. Lider tasarruf bankası olma hedefini destekleyecek şekilde toplumsal yatırımlara da imza atan ING Türkiye, bu anlayışla Turuncu Damla sosyal sorumluluk programını ve Türkiye Tasarruf Eğilimleri araştırmasını yürütüyor. Cinsiyet eşitliğini sağlamaya yönelik çalışmalar da gerçekleştiren kurum, bu kapsamda öncü insan kaynakları uygulamalarına imza atarken, kurum dışında da ilham veren kadınları destekliyor. </w:t>
      </w:r>
      <w:r w:rsidRPr="001760E8">
        <w:rPr>
          <w:rStyle w:val="m-4833970025875954642gmail-il"/>
          <w:rFonts w:ascii="ING Me" w:hAnsi="ING Me"/>
          <w:i/>
          <w:iCs/>
        </w:rPr>
        <w:t>ING</w:t>
      </w:r>
      <w:r w:rsidRPr="001760E8">
        <w:rPr>
          <w:rFonts w:ascii="ING Me" w:hAnsi="ING Me" w:cs="Arial"/>
          <w:i/>
          <w:iCs/>
          <w:sz w:val="18"/>
          <w:szCs w:val="18"/>
        </w:rPr>
        <w:t> Türkiye, Global Compact Türkiye Sürdürülebilir Bankacılık ve Finans Çalışma Grubu, TÜSİAD STEM (Science, Technology, Engineering, Mathematics/Fen, Teknoloji, Mühendislik, Matematik) Çalışma Grubu ve Global Compact Türkiye Kadının Güçlenmesi Çalışma Grubu üyesi ve aynı zamanda Birleşmiş Milletler Kadının Güçlenmesi Prensipleri - WEPs imzacısı.</w:t>
      </w:r>
    </w:p>
    <w:p w14:paraId="0424CD62" w14:textId="77777777" w:rsidR="00D876E3" w:rsidRPr="001760E8" w:rsidRDefault="00D876E3" w:rsidP="00D876E3">
      <w:pPr>
        <w:shd w:val="clear" w:color="auto" w:fill="FFFFFF"/>
        <w:spacing w:line="360" w:lineRule="atLeast"/>
        <w:jc w:val="both"/>
        <w:rPr>
          <w:rFonts w:ascii="ING Me" w:hAnsi="ING Me" w:cs="Arial"/>
        </w:rPr>
      </w:pPr>
      <w:r w:rsidRPr="001760E8">
        <w:rPr>
          <w:rFonts w:ascii="ING Me" w:hAnsi="ING Me" w:cs="Calibri"/>
        </w:rPr>
        <w:t> </w:t>
      </w:r>
    </w:p>
    <w:p w14:paraId="12E7E79F" w14:textId="77777777" w:rsidR="00D876E3" w:rsidRPr="001760E8" w:rsidRDefault="00D876E3" w:rsidP="00D876E3">
      <w:pPr>
        <w:shd w:val="clear" w:color="auto" w:fill="FFFFFF"/>
        <w:rPr>
          <w:rFonts w:ascii="ING Me" w:hAnsi="ING Me" w:cs="Arial"/>
        </w:rPr>
      </w:pPr>
      <w:r w:rsidRPr="001760E8">
        <w:rPr>
          <w:rFonts w:ascii="ING Me" w:hAnsi="ING Me" w:cs="Arial"/>
          <w:b/>
          <w:bCs/>
          <w:i/>
          <w:iCs/>
          <w:sz w:val="18"/>
          <w:szCs w:val="18"/>
          <w:u w:val="single"/>
        </w:rPr>
        <w:t>ING Grubu </w:t>
      </w:r>
      <w:r w:rsidRPr="001760E8">
        <w:rPr>
          <w:rStyle w:val="il"/>
          <w:rFonts w:ascii="ING Me" w:hAnsi="ING Me" w:cs="Arial"/>
          <w:b/>
          <w:bCs/>
          <w:i/>
          <w:iCs/>
          <w:sz w:val="18"/>
          <w:szCs w:val="18"/>
          <w:u w:val="single"/>
        </w:rPr>
        <w:t>Hakkında</w:t>
      </w:r>
      <w:r w:rsidRPr="001760E8">
        <w:rPr>
          <w:rFonts w:ascii="ING Me" w:hAnsi="ING Me" w:cs="Arial"/>
          <w:b/>
          <w:bCs/>
          <w:i/>
          <w:iCs/>
          <w:sz w:val="18"/>
          <w:szCs w:val="18"/>
          <w:u w:val="single"/>
        </w:rPr>
        <w:t>:</w:t>
      </w:r>
    </w:p>
    <w:p w14:paraId="65AD6905" w14:textId="77777777" w:rsidR="00D876E3" w:rsidRPr="001760E8" w:rsidRDefault="00D876E3" w:rsidP="00D876E3">
      <w:pPr>
        <w:shd w:val="clear" w:color="auto" w:fill="FFFFFF"/>
        <w:spacing w:line="360" w:lineRule="atLeast"/>
        <w:jc w:val="both"/>
        <w:rPr>
          <w:rFonts w:ascii="ING Me" w:hAnsi="ING Me" w:cs="Times New Roman"/>
        </w:rPr>
      </w:pPr>
      <w:r w:rsidRPr="001760E8">
        <w:rPr>
          <w:rFonts w:ascii="ING Me" w:hAnsi="ING Me"/>
          <w:i/>
          <w:iCs/>
          <w:sz w:val="18"/>
          <w:szCs w:val="18"/>
        </w:rPr>
        <w:t>Güçlü bir Avrupa tabanına sahip dünya çapında bir finansal hizmetler şirketi olan ING Grubu, bankacılık faaliyetlerini ING Bank AŞ şirketi üzerinden yürütüyor. İnsanları güçlendirerek özel ve iş hayatlarında bir adım önde kalmalarını sağlamayı amaçlayan ING Grubu, 40’tan fazla ülkede 53 bin çalışanıyla bireysel ve kurumsal bankacılık hizmetleri sunuyor. ING Grubu hisseleri Amsterdam (INGA AS, </w:t>
      </w:r>
      <w:hyperlink r:id="rId9" w:tgtFrame="_blank" w:history="1">
        <w:r w:rsidRPr="001760E8">
          <w:rPr>
            <w:rStyle w:val="Kpr"/>
            <w:rFonts w:ascii="ING Me" w:hAnsi="ING Me"/>
            <w:i/>
            <w:iCs/>
            <w:color w:val="auto"/>
            <w:sz w:val="18"/>
            <w:szCs w:val="18"/>
          </w:rPr>
          <w:t>INGA.AS</w:t>
        </w:r>
      </w:hyperlink>
      <w:r w:rsidRPr="001760E8">
        <w:rPr>
          <w:rFonts w:ascii="ING Me" w:hAnsi="ING Me"/>
          <w:i/>
          <w:iCs/>
          <w:sz w:val="18"/>
          <w:szCs w:val="18"/>
        </w:rPr>
        <w:t xml:space="preserve">), Brüksel ve New York Menkul Kıymetler </w:t>
      </w:r>
      <w:r w:rsidRPr="001760E8">
        <w:rPr>
          <w:rFonts w:ascii="ING Me" w:hAnsi="ING Me"/>
          <w:i/>
          <w:iCs/>
          <w:sz w:val="18"/>
          <w:szCs w:val="18"/>
        </w:rPr>
        <w:lastRenderedPageBreak/>
        <w:t>Borsası’nda (ADRs: ING US, ING.N) işlem görüyor. Sürdürülebilirliği stratejisinin ayrılmaz bir parçası olarak kabul eden ING, Sustainalytics’in banka endüstrisi sıralamasında “lider” konumunda yer alıyor. Ayrıca ING grup hisseleri </w:t>
      </w:r>
      <w:r w:rsidRPr="001760E8">
        <w:rPr>
          <w:rFonts w:ascii="ING Me" w:hAnsi="ING Me"/>
          <w:i/>
          <w:iCs/>
          <w:sz w:val="18"/>
          <w:szCs w:val="18"/>
          <w:lang w:val="en-US"/>
        </w:rPr>
        <w:t>STOXX, Morningstar ve FTSE Russell </w:t>
      </w:r>
      <w:r w:rsidRPr="001760E8">
        <w:rPr>
          <w:rFonts w:ascii="ING Me" w:hAnsi="ING Me"/>
          <w:i/>
          <w:iCs/>
          <w:sz w:val="18"/>
          <w:szCs w:val="18"/>
        </w:rPr>
        <w:t>gibi önemli sürdürülebilirlik endekslerinde yer alıyor.</w:t>
      </w:r>
    </w:p>
    <w:p w14:paraId="4F489718" w14:textId="77777777" w:rsidR="00720059" w:rsidRPr="001760E8" w:rsidRDefault="00720059" w:rsidP="0093261A">
      <w:pPr>
        <w:shd w:val="clear" w:color="auto" w:fill="FFFFFF"/>
        <w:spacing w:line="360" w:lineRule="atLeast"/>
        <w:jc w:val="both"/>
        <w:rPr>
          <w:rFonts w:ascii="ING Me" w:hAnsi="ING Me"/>
          <w:bCs/>
          <w:i/>
          <w:iCs/>
          <w:sz w:val="18"/>
          <w:szCs w:val="18"/>
        </w:rPr>
      </w:pPr>
    </w:p>
    <w:p w14:paraId="1E62F44D" w14:textId="77777777" w:rsidR="00D55FD4" w:rsidRPr="00D55FD4" w:rsidRDefault="00D55FD4" w:rsidP="0093261A">
      <w:pPr>
        <w:shd w:val="clear" w:color="auto" w:fill="FFFFFF"/>
        <w:spacing w:after="0" w:line="360" w:lineRule="atLeast"/>
        <w:rPr>
          <w:rFonts w:ascii="ING Me" w:hAnsi="ING Me"/>
          <w:bCs/>
          <w:iCs/>
          <w:color w:val="404040" w:themeColor="text1" w:themeTint="BF"/>
          <w:sz w:val="18"/>
          <w:szCs w:val="18"/>
        </w:rPr>
      </w:pPr>
      <w:bookmarkStart w:id="0" w:name="_GoBack"/>
      <w:bookmarkEnd w:id="0"/>
    </w:p>
    <w:sectPr w:rsidR="00D55FD4" w:rsidRPr="00D55F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7666A" w14:textId="77777777" w:rsidR="000D537D" w:rsidRDefault="000D537D" w:rsidP="00835F0D">
      <w:pPr>
        <w:spacing w:after="0" w:line="240" w:lineRule="auto"/>
      </w:pPr>
      <w:r>
        <w:separator/>
      </w:r>
    </w:p>
  </w:endnote>
  <w:endnote w:type="continuationSeparator" w:id="0">
    <w:p w14:paraId="4FC40EC6" w14:textId="77777777" w:rsidR="000D537D" w:rsidRDefault="000D537D" w:rsidP="0083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G Me">
    <w:panose1 w:val="02000803040000020004"/>
    <w:charset w:val="00"/>
    <w:family w:val="modern"/>
    <w:notTrueType/>
    <w:pitch w:val="variable"/>
    <w:sig w:usb0="A10002AF" w:usb1="5000607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31B7E" w14:textId="77777777" w:rsidR="000D537D" w:rsidRDefault="000D537D" w:rsidP="00835F0D">
      <w:pPr>
        <w:spacing w:after="0" w:line="240" w:lineRule="auto"/>
      </w:pPr>
      <w:r>
        <w:separator/>
      </w:r>
    </w:p>
  </w:footnote>
  <w:footnote w:type="continuationSeparator" w:id="0">
    <w:p w14:paraId="6609C658" w14:textId="77777777" w:rsidR="000D537D" w:rsidRDefault="000D537D" w:rsidP="00835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354E4"/>
    <w:multiLevelType w:val="hybridMultilevel"/>
    <w:tmpl w:val="52F60346"/>
    <w:lvl w:ilvl="0" w:tplc="CBD0932C">
      <w:start w:val="1"/>
      <w:numFmt w:val="bullet"/>
      <w:lvlText w:val=""/>
      <w:lvlJc w:val="left"/>
      <w:pPr>
        <w:ind w:left="720" w:hanging="360"/>
      </w:pPr>
      <w:rPr>
        <w:rFonts w:ascii="Symbol" w:hAnsi="Symbol" w:hint="default"/>
        <w:color w:val="44546A"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BB"/>
    <w:rsid w:val="00003931"/>
    <w:rsid w:val="00003AEA"/>
    <w:rsid w:val="000049A4"/>
    <w:rsid w:val="00015C5D"/>
    <w:rsid w:val="00017F86"/>
    <w:rsid w:val="0002287E"/>
    <w:rsid w:val="0002714C"/>
    <w:rsid w:val="0003410D"/>
    <w:rsid w:val="00060C7E"/>
    <w:rsid w:val="00067762"/>
    <w:rsid w:val="00070B2C"/>
    <w:rsid w:val="00071B0C"/>
    <w:rsid w:val="0007581F"/>
    <w:rsid w:val="000764B0"/>
    <w:rsid w:val="000810B7"/>
    <w:rsid w:val="0008300B"/>
    <w:rsid w:val="00091E3A"/>
    <w:rsid w:val="000A00B3"/>
    <w:rsid w:val="000A6C14"/>
    <w:rsid w:val="000B28B7"/>
    <w:rsid w:val="000C32E5"/>
    <w:rsid w:val="000D537D"/>
    <w:rsid w:val="000E7B22"/>
    <w:rsid w:val="0010259B"/>
    <w:rsid w:val="001128FC"/>
    <w:rsid w:val="001164EC"/>
    <w:rsid w:val="00122168"/>
    <w:rsid w:val="00122629"/>
    <w:rsid w:val="00122D4F"/>
    <w:rsid w:val="00132DCD"/>
    <w:rsid w:val="00151E9A"/>
    <w:rsid w:val="0015305B"/>
    <w:rsid w:val="00157860"/>
    <w:rsid w:val="0016429A"/>
    <w:rsid w:val="001760E8"/>
    <w:rsid w:val="0018080F"/>
    <w:rsid w:val="0018337B"/>
    <w:rsid w:val="001950CF"/>
    <w:rsid w:val="001B3087"/>
    <w:rsid w:val="001C1731"/>
    <w:rsid w:val="001D3B77"/>
    <w:rsid w:val="001E705F"/>
    <w:rsid w:val="001E736C"/>
    <w:rsid w:val="001F4832"/>
    <w:rsid w:val="001F674B"/>
    <w:rsid w:val="00200506"/>
    <w:rsid w:val="002009D7"/>
    <w:rsid w:val="00213E44"/>
    <w:rsid w:val="0023507E"/>
    <w:rsid w:val="002370ED"/>
    <w:rsid w:val="00240645"/>
    <w:rsid w:val="00242048"/>
    <w:rsid w:val="002575A7"/>
    <w:rsid w:val="00257FEB"/>
    <w:rsid w:val="00262648"/>
    <w:rsid w:val="002706DC"/>
    <w:rsid w:val="00273C7C"/>
    <w:rsid w:val="002830B3"/>
    <w:rsid w:val="00284A4A"/>
    <w:rsid w:val="00286C2E"/>
    <w:rsid w:val="002A15C9"/>
    <w:rsid w:val="002A4461"/>
    <w:rsid w:val="002A7CAE"/>
    <w:rsid w:val="002D4350"/>
    <w:rsid w:val="002D59F9"/>
    <w:rsid w:val="002F0E17"/>
    <w:rsid w:val="002F7948"/>
    <w:rsid w:val="0031371A"/>
    <w:rsid w:val="00317529"/>
    <w:rsid w:val="00324BB3"/>
    <w:rsid w:val="003316F4"/>
    <w:rsid w:val="00335AA6"/>
    <w:rsid w:val="00347EC7"/>
    <w:rsid w:val="00351C7B"/>
    <w:rsid w:val="00364A5B"/>
    <w:rsid w:val="00371F68"/>
    <w:rsid w:val="00373385"/>
    <w:rsid w:val="00385FCD"/>
    <w:rsid w:val="003A1241"/>
    <w:rsid w:val="003A3A11"/>
    <w:rsid w:val="003A5571"/>
    <w:rsid w:val="003C12D3"/>
    <w:rsid w:val="003C2EFA"/>
    <w:rsid w:val="003D3DB8"/>
    <w:rsid w:val="003E33C9"/>
    <w:rsid w:val="003F17E0"/>
    <w:rsid w:val="003F3542"/>
    <w:rsid w:val="003F684F"/>
    <w:rsid w:val="003F7E9E"/>
    <w:rsid w:val="00403122"/>
    <w:rsid w:val="00404159"/>
    <w:rsid w:val="0040595D"/>
    <w:rsid w:val="00406FA8"/>
    <w:rsid w:val="00412DD9"/>
    <w:rsid w:val="00417524"/>
    <w:rsid w:val="00425DDF"/>
    <w:rsid w:val="004270E5"/>
    <w:rsid w:val="00441E39"/>
    <w:rsid w:val="00441F18"/>
    <w:rsid w:val="004433DF"/>
    <w:rsid w:val="00455265"/>
    <w:rsid w:val="004647F8"/>
    <w:rsid w:val="0047116D"/>
    <w:rsid w:val="004719BA"/>
    <w:rsid w:val="00481BE7"/>
    <w:rsid w:val="004878CA"/>
    <w:rsid w:val="00492353"/>
    <w:rsid w:val="004A3C82"/>
    <w:rsid w:val="004A7A0C"/>
    <w:rsid w:val="004B7E60"/>
    <w:rsid w:val="004D1A03"/>
    <w:rsid w:val="004D5EED"/>
    <w:rsid w:val="004D7517"/>
    <w:rsid w:val="004E4F48"/>
    <w:rsid w:val="004F1248"/>
    <w:rsid w:val="004F342D"/>
    <w:rsid w:val="004F5596"/>
    <w:rsid w:val="004F6FF8"/>
    <w:rsid w:val="00520047"/>
    <w:rsid w:val="005220DE"/>
    <w:rsid w:val="005572E9"/>
    <w:rsid w:val="005748A9"/>
    <w:rsid w:val="0059226F"/>
    <w:rsid w:val="005A1098"/>
    <w:rsid w:val="005A4D46"/>
    <w:rsid w:val="005C4FFD"/>
    <w:rsid w:val="005D5C21"/>
    <w:rsid w:val="005D6359"/>
    <w:rsid w:val="005E5476"/>
    <w:rsid w:val="005F2CC6"/>
    <w:rsid w:val="00600B56"/>
    <w:rsid w:val="00602DFB"/>
    <w:rsid w:val="00614507"/>
    <w:rsid w:val="00617F18"/>
    <w:rsid w:val="00623D37"/>
    <w:rsid w:val="006359A0"/>
    <w:rsid w:val="00645C91"/>
    <w:rsid w:val="00646822"/>
    <w:rsid w:val="006468D0"/>
    <w:rsid w:val="00646A21"/>
    <w:rsid w:val="00655E5E"/>
    <w:rsid w:val="00655F38"/>
    <w:rsid w:val="00664DC2"/>
    <w:rsid w:val="006666E4"/>
    <w:rsid w:val="00667794"/>
    <w:rsid w:val="00667F20"/>
    <w:rsid w:val="00674F3A"/>
    <w:rsid w:val="00682845"/>
    <w:rsid w:val="00685F67"/>
    <w:rsid w:val="006863F5"/>
    <w:rsid w:val="00694067"/>
    <w:rsid w:val="006A069B"/>
    <w:rsid w:val="006A0DDC"/>
    <w:rsid w:val="006A1510"/>
    <w:rsid w:val="006B0DCB"/>
    <w:rsid w:val="006C5DBF"/>
    <w:rsid w:val="006C6C3C"/>
    <w:rsid w:val="006D11B2"/>
    <w:rsid w:val="006E43BB"/>
    <w:rsid w:val="006E7AC9"/>
    <w:rsid w:val="006F02CD"/>
    <w:rsid w:val="006F2DDB"/>
    <w:rsid w:val="006F48E9"/>
    <w:rsid w:val="006F5139"/>
    <w:rsid w:val="006F69CC"/>
    <w:rsid w:val="00701B44"/>
    <w:rsid w:val="00702020"/>
    <w:rsid w:val="00720059"/>
    <w:rsid w:val="00723A4A"/>
    <w:rsid w:val="00725C97"/>
    <w:rsid w:val="00727AA0"/>
    <w:rsid w:val="00736438"/>
    <w:rsid w:val="007369C5"/>
    <w:rsid w:val="007415AA"/>
    <w:rsid w:val="00745469"/>
    <w:rsid w:val="00750451"/>
    <w:rsid w:val="007531EB"/>
    <w:rsid w:val="0076373F"/>
    <w:rsid w:val="00766C11"/>
    <w:rsid w:val="007701A0"/>
    <w:rsid w:val="0077355E"/>
    <w:rsid w:val="00774972"/>
    <w:rsid w:val="00786FA8"/>
    <w:rsid w:val="00795BD2"/>
    <w:rsid w:val="00796E9A"/>
    <w:rsid w:val="007A2FD9"/>
    <w:rsid w:val="007B59E8"/>
    <w:rsid w:val="007B6D1E"/>
    <w:rsid w:val="007C6CE7"/>
    <w:rsid w:val="007D114D"/>
    <w:rsid w:val="007D17FA"/>
    <w:rsid w:val="007D56D9"/>
    <w:rsid w:val="007D5A7C"/>
    <w:rsid w:val="007D6D40"/>
    <w:rsid w:val="007D7B25"/>
    <w:rsid w:val="0081312F"/>
    <w:rsid w:val="00822086"/>
    <w:rsid w:val="0082671E"/>
    <w:rsid w:val="0082690D"/>
    <w:rsid w:val="00826F62"/>
    <w:rsid w:val="00832AD2"/>
    <w:rsid w:val="008349F2"/>
    <w:rsid w:val="00835F0D"/>
    <w:rsid w:val="00837891"/>
    <w:rsid w:val="00842DE0"/>
    <w:rsid w:val="00844F63"/>
    <w:rsid w:val="00845C2B"/>
    <w:rsid w:val="008469CD"/>
    <w:rsid w:val="0086474D"/>
    <w:rsid w:val="00897E44"/>
    <w:rsid w:val="008A1268"/>
    <w:rsid w:val="008A55AD"/>
    <w:rsid w:val="008C0326"/>
    <w:rsid w:val="008C1D66"/>
    <w:rsid w:val="008C51EE"/>
    <w:rsid w:val="008D1C50"/>
    <w:rsid w:val="008D4210"/>
    <w:rsid w:val="008E76FF"/>
    <w:rsid w:val="008F0322"/>
    <w:rsid w:val="008F59B1"/>
    <w:rsid w:val="009036F5"/>
    <w:rsid w:val="00920F15"/>
    <w:rsid w:val="00925C05"/>
    <w:rsid w:val="0093261A"/>
    <w:rsid w:val="009456D0"/>
    <w:rsid w:val="00951C89"/>
    <w:rsid w:val="0095674F"/>
    <w:rsid w:val="009635E6"/>
    <w:rsid w:val="00972888"/>
    <w:rsid w:val="00973C42"/>
    <w:rsid w:val="00976CE7"/>
    <w:rsid w:val="00992437"/>
    <w:rsid w:val="009A2AE8"/>
    <w:rsid w:val="009A7575"/>
    <w:rsid w:val="009C06F2"/>
    <w:rsid w:val="009D1BBC"/>
    <w:rsid w:val="009D296F"/>
    <w:rsid w:val="009D43BC"/>
    <w:rsid w:val="009E05DE"/>
    <w:rsid w:val="009E1415"/>
    <w:rsid w:val="009E7EFC"/>
    <w:rsid w:val="00A108D7"/>
    <w:rsid w:val="00A16630"/>
    <w:rsid w:val="00A20351"/>
    <w:rsid w:val="00A22043"/>
    <w:rsid w:val="00A27315"/>
    <w:rsid w:val="00A30EA6"/>
    <w:rsid w:val="00A33350"/>
    <w:rsid w:val="00A379C9"/>
    <w:rsid w:val="00A41EA0"/>
    <w:rsid w:val="00A521B7"/>
    <w:rsid w:val="00A565F7"/>
    <w:rsid w:val="00A57E2D"/>
    <w:rsid w:val="00A63D0C"/>
    <w:rsid w:val="00A70EAE"/>
    <w:rsid w:val="00A92D8E"/>
    <w:rsid w:val="00A94868"/>
    <w:rsid w:val="00A96B2C"/>
    <w:rsid w:val="00A9710E"/>
    <w:rsid w:val="00AA0955"/>
    <w:rsid w:val="00AA1037"/>
    <w:rsid w:val="00AC1132"/>
    <w:rsid w:val="00AC3C54"/>
    <w:rsid w:val="00AC7090"/>
    <w:rsid w:val="00AD39D5"/>
    <w:rsid w:val="00AD6726"/>
    <w:rsid w:val="00AD75EB"/>
    <w:rsid w:val="00AE350B"/>
    <w:rsid w:val="00AE4A0C"/>
    <w:rsid w:val="00AF4A6F"/>
    <w:rsid w:val="00B132E3"/>
    <w:rsid w:val="00B16FE4"/>
    <w:rsid w:val="00B214DE"/>
    <w:rsid w:val="00B4459C"/>
    <w:rsid w:val="00B53BA9"/>
    <w:rsid w:val="00B54889"/>
    <w:rsid w:val="00B56BCB"/>
    <w:rsid w:val="00B62BFD"/>
    <w:rsid w:val="00B631FC"/>
    <w:rsid w:val="00B64851"/>
    <w:rsid w:val="00B64E6C"/>
    <w:rsid w:val="00B67A99"/>
    <w:rsid w:val="00B77987"/>
    <w:rsid w:val="00B82214"/>
    <w:rsid w:val="00B9296F"/>
    <w:rsid w:val="00B92DD6"/>
    <w:rsid w:val="00B95B6F"/>
    <w:rsid w:val="00B97CAC"/>
    <w:rsid w:val="00BA25A7"/>
    <w:rsid w:val="00BA3F5A"/>
    <w:rsid w:val="00BB33DA"/>
    <w:rsid w:val="00BB564D"/>
    <w:rsid w:val="00BE3263"/>
    <w:rsid w:val="00BF0BD8"/>
    <w:rsid w:val="00C010FE"/>
    <w:rsid w:val="00C105DB"/>
    <w:rsid w:val="00C200A5"/>
    <w:rsid w:val="00C2120C"/>
    <w:rsid w:val="00C35DFD"/>
    <w:rsid w:val="00C35EEC"/>
    <w:rsid w:val="00C375D8"/>
    <w:rsid w:val="00C51564"/>
    <w:rsid w:val="00C6780D"/>
    <w:rsid w:val="00C72281"/>
    <w:rsid w:val="00C77482"/>
    <w:rsid w:val="00C87379"/>
    <w:rsid w:val="00CA1617"/>
    <w:rsid w:val="00CA7DC9"/>
    <w:rsid w:val="00CB50B6"/>
    <w:rsid w:val="00CC5826"/>
    <w:rsid w:val="00CE117D"/>
    <w:rsid w:val="00CE2B25"/>
    <w:rsid w:val="00CE7CB0"/>
    <w:rsid w:val="00CF037E"/>
    <w:rsid w:val="00CF4A0C"/>
    <w:rsid w:val="00D01E81"/>
    <w:rsid w:val="00D1158E"/>
    <w:rsid w:val="00D14AE0"/>
    <w:rsid w:val="00D16F5B"/>
    <w:rsid w:val="00D2403C"/>
    <w:rsid w:val="00D25056"/>
    <w:rsid w:val="00D305B9"/>
    <w:rsid w:val="00D37D05"/>
    <w:rsid w:val="00D55FD4"/>
    <w:rsid w:val="00D60F22"/>
    <w:rsid w:val="00D64001"/>
    <w:rsid w:val="00D73B37"/>
    <w:rsid w:val="00D82870"/>
    <w:rsid w:val="00D86EB7"/>
    <w:rsid w:val="00D876E3"/>
    <w:rsid w:val="00DB10FF"/>
    <w:rsid w:val="00DB2F93"/>
    <w:rsid w:val="00DC2920"/>
    <w:rsid w:val="00DC5458"/>
    <w:rsid w:val="00DE7C92"/>
    <w:rsid w:val="00DF1F4B"/>
    <w:rsid w:val="00DF73E3"/>
    <w:rsid w:val="00E02CB4"/>
    <w:rsid w:val="00E06A03"/>
    <w:rsid w:val="00E07785"/>
    <w:rsid w:val="00E14C72"/>
    <w:rsid w:val="00E1690A"/>
    <w:rsid w:val="00E322C5"/>
    <w:rsid w:val="00E400AC"/>
    <w:rsid w:val="00E41049"/>
    <w:rsid w:val="00E420CA"/>
    <w:rsid w:val="00E50A9A"/>
    <w:rsid w:val="00E52510"/>
    <w:rsid w:val="00E535E5"/>
    <w:rsid w:val="00E665AC"/>
    <w:rsid w:val="00E66901"/>
    <w:rsid w:val="00E7058C"/>
    <w:rsid w:val="00E7228D"/>
    <w:rsid w:val="00E77AFF"/>
    <w:rsid w:val="00E80319"/>
    <w:rsid w:val="00E85EBC"/>
    <w:rsid w:val="00E94A30"/>
    <w:rsid w:val="00E9790C"/>
    <w:rsid w:val="00EA19B4"/>
    <w:rsid w:val="00EB3505"/>
    <w:rsid w:val="00EC58FD"/>
    <w:rsid w:val="00ED4F9E"/>
    <w:rsid w:val="00EE2322"/>
    <w:rsid w:val="00EE4696"/>
    <w:rsid w:val="00EE5DF1"/>
    <w:rsid w:val="00EE6F6C"/>
    <w:rsid w:val="00EE78E6"/>
    <w:rsid w:val="00EF04ED"/>
    <w:rsid w:val="00F00CE6"/>
    <w:rsid w:val="00F01C6A"/>
    <w:rsid w:val="00F121C2"/>
    <w:rsid w:val="00F12443"/>
    <w:rsid w:val="00F16B33"/>
    <w:rsid w:val="00F20C86"/>
    <w:rsid w:val="00F256D1"/>
    <w:rsid w:val="00F27761"/>
    <w:rsid w:val="00F4237B"/>
    <w:rsid w:val="00F43D91"/>
    <w:rsid w:val="00F5238E"/>
    <w:rsid w:val="00F551AB"/>
    <w:rsid w:val="00F567D7"/>
    <w:rsid w:val="00F611A4"/>
    <w:rsid w:val="00F61264"/>
    <w:rsid w:val="00F6282A"/>
    <w:rsid w:val="00F67674"/>
    <w:rsid w:val="00F77441"/>
    <w:rsid w:val="00F83670"/>
    <w:rsid w:val="00F95DA5"/>
    <w:rsid w:val="00FB13DD"/>
    <w:rsid w:val="00FC46B7"/>
    <w:rsid w:val="00FC6F36"/>
    <w:rsid w:val="00FE75FA"/>
    <w:rsid w:val="00FF27DF"/>
    <w:rsid w:val="00FF341F"/>
    <w:rsid w:val="00FF5C5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4D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00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1F4832"/>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F00CE6"/>
    <w:pPr>
      <w:framePr w:hSpace="141" w:wrap="auto" w:vAnchor="text" w:hAnchor="margin" w:y="270"/>
      <w:spacing w:after="0"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1F4832"/>
    <w:rPr>
      <w:rFonts w:ascii="ING Me" w:eastAsia="SimSun" w:hAnsi="ING Me" w:cs="Arial"/>
      <w:b/>
      <w:color w:val="44546A" w:themeColor="text2"/>
      <w:sz w:val="18"/>
      <w:szCs w:val="18"/>
      <w:lang w:eastAsia="nl-NL"/>
    </w:rPr>
  </w:style>
  <w:style w:type="character" w:customStyle="1" w:styleId="Balk1Char">
    <w:name w:val="Başlık 1 Char"/>
    <w:basedOn w:val="VarsaylanParagrafYazTipi"/>
    <w:link w:val="Balk1"/>
    <w:uiPriority w:val="9"/>
    <w:rsid w:val="00F00CE6"/>
    <w:rPr>
      <w:rFonts w:asciiTheme="majorHAnsi" w:eastAsiaTheme="majorEastAsia" w:hAnsiTheme="majorHAnsi" w:cstheme="majorBidi"/>
      <w:color w:val="2E74B5" w:themeColor="accent1" w:themeShade="BF"/>
      <w:sz w:val="32"/>
      <w:szCs w:val="32"/>
    </w:rPr>
  </w:style>
  <w:style w:type="character" w:styleId="AklamaBavurusu">
    <w:name w:val="annotation reference"/>
    <w:basedOn w:val="VarsaylanParagrafYazTipi"/>
    <w:uiPriority w:val="99"/>
    <w:semiHidden/>
    <w:unhideWhenUsed/>
    <w:rsid w:val="00403122"/>
    <w:rPr>
      <w:sz w:val="16"/>
      <w:szCs w:val="16"/>
    </w:rPr>
  </w:style>
  <w:style w:type="paragraph" w:styleId="AklamaMetni">
    <w:name w:val="annotation text"/>
    <w:basedOn w:val="Normal"/>
    <w:link w:val="AklamaMetniChar"/>
    <w:uiPriority w:val="99"/>
    <w:semiHidden/>
    <w:unhideWhenUsed/>
    <w:rsid w:val="004031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3122"/>
    <w:rPr>
      <w:sz w:val="20"/>
      <w:szCs w:val="20"/>
    </w:rPr>
  </w:style>
  <w:style w:type="paragraph" w:styleId="AklamaKonusu">
    <w:name w:val="annotation subject"/>
    <w:basedOn w:val="AklamaMetni"/>
    <w:next w:val="AklamaMetni"/>
    <w:link w:val="AklamaKonusuChar"/>
    <w:uiPriority w:val="99"/>
    <w:semiHidden/>
    <w:unhideWhenUsed/>
    <w:rsid w:val="00403122"/>
    <w:rPr>
      <w:b/>
      <w:bCs/>
    </w:rPr>
  </w:style>
  <w:style w:type="character" w:customStyle="1" w:styleId="AklamaKonusuChar">
    <w:name w:val="Açıklama Konusu Char"/>
    <w:basedOn w:val="AklamaMetniChar"/>
    <w:link w:val="AklamaKonusu"/>
    <w:uiPriority w:val="99"/>
    <w:semiHidden/>
    <w:rsid w:val="00403122"/>
    <w:rPr>
      <w:b/>
      <w:bCs/>
      <w:sz w:val="20"/>
      <w:szCs w:val="20"/>
    </w:rPr>
  </w:style>
  <w:style w:type="paragraph" w:styleId="BalonMetni">
    <w:name w:val="Balloon Text"/>
    <w:basedOn w:val="Normal"/>
    <w:link w:val="BalonMetniChar"/>
    <w:uiPriority w:val="99"/>
    <w:semiHidden/>
    <w:unhideWhenUsed/>
    <w:rsid w:val="0040312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3122"/>
    <w:rPr>
      <w:rFonts w:ascii="Segoe UI" w:hAnsi="Segoe UI" w:cs="Segoe UI"/>
      <w:sz w:val="18"/>
      <w:szCs w:val="18"/>
    </w:rPr>
  </w:style>
  <w:style w:type="character" w:styleId="Kpr">
    <w:name w:val="Hyperlink"/>
    <w:basedOn w:val="VarsaylanParagrafYazTipi"/>
    <w:uiPriority w:val="99"/>
    <w:unhideWhenUsed/>
    <w:rsid w:val="00D64001"/>
    <w:rPr>
      <w:color w:val="0563C1" w:themeColor="hyperlink"/>
      <w:u w:val="single"/>
    </w:rPr>
  </w:style>
  <w:style w:type="paragraph" w:styleId="ListeParagraf">
    <w:name w:val="List Paragraph"/>
    <w:basedOn w:val="Normal"/>
    <w:uiPriority w:val="34"/>
    <w:qFormat/>
    <w:rsid w:val="00FF5C59"/>
    <w:pPr>
      <w:spacing w:line="240" w:lineRule="auto"/>
      <w:ind w:left="708"/>
    </w:pPr>
    <w:rPr>
      <w:rFonts w:eastAsia="SimSun" w:cs="Times New Roman"/>
      <w:sz w:val="20"/>
      <w:szCs w:val="24"/>
      <w:lang w:val="en-GB" w:eastAsia="nl-NL"/>
    </w:rPr>
  </w:style>
  <w:style w:type="table" w:styleId="TabloKlavuzu">
    <w:name w:val="Table Grid"/>
    <w:basedOn w:val="NormalTablo"/>
    <w:uiPriority w:val="99"/>
    <w:rsid w:val="0077355E"/>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835F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35F0D"/>
    <w:rPr>
      <w:sz w:val="20"/>
      <w:szCs w:val="20"/>
    </w:rPr>
  </w:style>
  <w:style w:type="character" w:styleId="DipnotBavurusu">
    <w:name w:val="footnote reference"/>
    <w:basedOn w:val="VarsaylanParagrafYazTipi"/>
    <w:uiPriority w:val="99"/>
    <w:semiHidden/>
    <w:unhideWhenUsed/>
    <w:rsid w:val="00835F0D"/>
    <w:rPr>
      <w:vertAlign w:val="superscript"/>
    </w:rPr>
  </w:style>
  <w:style w:type="paragraph" w:styleId="SonnotMetni">
    <w:name w:val="endnote text"/>
    <w:basedOn w:val="Normal"/>
    <w:link w:val="SonnotMetniChar"/>
    <w:uiPriority w:val="99"/>
    <w:semiHidden/>
    <w:unhideWhenUsed/>
    <w:rsid w:val="00835F0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835F0D"/>
    <w:rPr>
      <w:sz w:val="20"/>
      <w:szCs w:val="20"/>
    </w:rPr>
  </w:style>
  <w:style w:type="character" w:styleId="SonnotBavurusu">
    <w:name w:val="endnote reference"/>
    <w:basedOn w:val="VarsaylanParagrafYazTipi"/>
    <w:uiPriority w:val="99"/>
    <w:semiHidden/>
    <w:unhideWhenUsed/>
    <w:rsid w:val="00835F0D"/>
    <w:rPr>
      <w:vertAlign w:val="superscript"/>
    </w:rPr>
  </w:style>
  <w:style w:type="table" w:customStyle="1" w:styleId="TableGrid1">
    <w:name w:val="Table Grid1"/>
    <w:basedOn w:val="NormalTablo"/>
    <w:next w:val="TabloKlavuzu"/>
    <w:uiPriority w:val="99"/>
    <w:rsid w:val="00727AA0"/>
    <w:pPr>
      <w:spacing w:after="0" w:line="240" w:lineRule="auto"/>
    </w:pPr>
    <w:rPr>
      <w:rFonts w:ascii="Times New Roman" w:eastAsia="SimSu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1183222425546430637msolistparagraph">
    <w:name w:val="m_1183222425546430637msolistparagraph"/>
    <w:basedOn w:val="Normal"/>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95DA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876642416361468816msonospacing">
    <w:name w:val="m_876642416361468816msonospacing"/>
    <w:basedOn w:val="Normal"/>
    <w:rsid w:val="0006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4833970025875954642gmail-il">
    <w:name w:val="m_-4833970025875954642gmail-il"/>
    <w:basedOn w:val="VarsaylanParagrafYazTipi"/>
    <w:rsid w:val="00D876E3"/>
  </w:style>
  <w:style w:type="character" w:customStyle="1" w:styleId="il">
    <w:name w:val="il"/>
    <w:basedOn w:val="VarsaylanParagrafYazTipi"/>
    <w:rsid w:val="00D8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398">
      <w:bodyDiv w:val="1"/>
      <w:marLeft w:val="0"/>
      <w:marRight w:val="0"/>
      <w:marTop w:val="0"/>
      <w:marBottom w:val="0"/>
      <w:divBdr>
        <w:top w:val="none" w:sz="0" w:space="0" w:color="auto"/>
        <w:left w:val="none" w:sz="0" w:space="0" w:color="auto"/>
        <w:bottom w:val="none" w:sz="0" w:space="0" w:color="auto"/>
        <w:right w:val="none" w:sz="0" w:space="0" w:color="auto"/>
      </w:divBdr>
    </w:div>
    <w:div w:id="214632429">
      <w:bodyDiv w:val="1"/>
      <w:marLeft w:val="0"/>
      <w:marRight w:val="0"/>
      <w:marTop w:val="0"/>
      <w:marBottom w:val="0"/>
      <w:divBdr>
        <w:top w:val="none" w:sz="0" w:space="0" w:color="auto"/>
        <w:left w:val="none" w:sz="0" w:space="0" w:color="auto"/>
        <w:bottom w:val="none" w:sz="0" w:space="0" w:color="auto"/>
        <w:right w:val="none" w:sz="0" w:space="0" w:color="auto"/>
      </w:divBdr>
    </w:div>
    <w:div w:id="275599375">
      <w:bodyDiv w:val="1"/>
      <w:marLeft w:val="0"/>
      <w:marRight w:val="0"/>
      <w:marTop w:val="0"/>
      <w:marBottom w:val="0"/>
      <w:divBdr>
        <w:top w:val="none" w:sz="0" w:space="0" w:color="auto"/>
        <w:left w:val="none" w:sz="0" w:space="0" w:color="auto"/>
        <w:bottom w:val="none" w:sz="0" w:space="0" w:color="auto"/>
        <w:right w:val="none" w:sz="0" w:space="0" w:color="auto"/>
      </w:divBdr>
      <w:divsChild>
        <w:div w:id="630523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0102">
      <w:bodyDiv w:val="1"/>
      <w:marLeft w:val="0"/>
      <w:marRight w:val="0"/>
      <w:marTop w:val="0"/>
      <w:marBottom w:val="0"/>
      <w:divBdr>
        <w:top w:val="none" w:sz="0" w:space="0" w:color="auto"/>
        <w:left w:val="none" w:sz="0" w:space="0" w:color="auto"/>
        <w:bottom w:val="none" w:sz="0" w:space="0" w:color="auto"/>
        <w:right w:val="none" w:sz="0" w:space="0" w:color="auto"/>
      </w:divBdr>
    </w:div>
    <w:div w:id="545063427">
      <w:bodyDiv w:val="1"/>
      <w:marLeft w:val="0"/>
      <w:marRight w:val="0"/>
      <w:marTop w:val="0"/>
      <w:marBottom w:val="0"/>
      <w:divBdr>
        <w:top w:val="none" w:sz="0" w:space="0" w:color="auto"/>
        <w:left w:val="none" w:sz="0" w:space="0" w:color="auto"/>
        <w:bottom w:val="none" w:sz="0" w:space="0" w:color="auto"/>
        <w:right w:val="none" w:sz="0" w:space="0" w:color="auto"/>
      </w:divBdr>
      <w:divsChild>
        <w:div w:id="32482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128325">
              <w:marLeft w:val="0"/>
              <w:marRight w:val="0"/>
              <w:marTop w:val="0"/>
              <w:marBottom w:val="0"/>
              <w:divBdr>
                <w:top w:val="none" w:sz="0" w:space="0" w:color="auto"/>
                <w:left w:val="none" w:sz="0" w:space="0" w:color="auto"/>
                <w:bottom w:val="none" w:sz="0" w:space="0" w:color="auto"/>
                <w:right w:val="none" w:sz="0" w:space="0" w:color="auto"/>
              </w:divBdr>
              <w:divsChild>
                <w:div w:id="1251352982">
                  <w:marLeft w:val="0"/>
                  <w:marRight w:val="0"/>
                  <w:marTop w:val="0"/>
                  <w:marBottom w:val="0"/>
                  <w:divBdr>
                    <w:top w:val="none" w:sz="0" w:space="0" w:color="auto"/>
                    <w:left w:val="none" w:sz="0" w:space="0" w:color="auto"/>
                    <w:bottom w:val="none" w:sz="0" w:space="0" w:color="auto"/>
                    <w:right w:val="none" w:sz="0" w:space="0" w:color="auto"/>
                  </w:divBdr>
                  <w:divsChild>
                    <w:div w:id="1931161642">
                      <w:marLeft w:val="0"/>
                      <w:marRight w:val="0"/>
                      <w:marTop w:val="0"/>
                      <w:marBottom w:val="0"/>
                      <w:divBdr>
                        <w:top w:val="none" w:sz="0" w:space="0" w:color="auto"/>
                        <w:left w:val="none" w:sz="0" w:space="0" w:color="auto"/>
                        <w:bottom w:val="none" w:sz="0" w:space="0" w:color="auto"/>
                        <w:right w:val="none" w:sz="0" w:space="0" w:color="auto"/>
                      </w:divBdr>
                      <w:divsChild>
                        <w:div w:id="174197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8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323361">
      <w:bodyDiv w:val="1"/>
      <w:marLeft w:val="0"/>
      <w:marRight w:val="0"/>
      <w:marTop w:val="0"/>
      <w:marBottom w:val="0"/>
      <w:divBdr>
        <w:top w:val="none" w:sz="0" w:space="0" w:color="auto"/>
        <w:left w:val="none" w:sz="0" w:space="0" w:color="auto"/>
        <w:bottom w:val="none" w:sz="0" w:space="0" w:color="auto"/>
        <w:right w:val="none" w:sz="0" w:space="0" w:color="auto"/>
      </w:divBdr>
    </w:div>
    <w:div w:id="823278651">
      <w:bodyDiv w:val="1"/>
      <w:marLeft w:val="0"/>
      <w:marRight w:val="0"/>
      <w:marTop w:val="0"/>
      <w:marBottom w:val="0"/>
      <w:divBdr>
        <w:top w:val="none" w:sz="0" w:space="0" w:color="auto"/>
        <w:left w:val="none" w:sz="0" w:space="0" w:color="auto"/>
        <w:bottom w:val="none" w:sz="0" w:space="0" w:color="auto"/>
        <w:right w:val="none" w:sz="0" w:space="0" w:color="auto"/>
      </w:divBdr>
    </w:div>
    <w:div w:id="841313852">
      <w:bodyDiv w:val="1"/>
      <w:marLeft w:val="0"/>
      <w:marRight w:val="0"/>
      <w:marTop w:val="0"/>
      <w:marBottom w:val="0"/>
      <w:divBdr>
        <w:top w:val="none" w:sz="0" w:space="0" w:color="auto"/>
        <w:left w:val="none" w:sz="0" w:space="0" w:color="auto"/>
        <w:bottom w:val="none" w:sz="0" w:space="0" w:color="auto"/>
        <w:right w:val="none" w:sz="0" w:space="0" w:color="auto"/>
      </w:divBdr>
    </w:div>
    <w:div w:id="854463800">
      <w:bodyDiv w:val="1"/>
      <w:marLeft w:val="0"/>
      <w:marRight w:val="0"/>
      <w:marTop w:val="0"/>
      <w:marBottom w:val="0"/>
      <w:divBdr>
        <w:top w:val="none" w:sz="0" w:space="0" w:color="auto"/>
        <w:left w:val="none" w:sz="0" w:space="0" w:color="auto"/>
        <w:bottom w:val="none" w:sz="0" w:space="0" w:color="auto"/>
        <w:right w:val="none" w:sz="0" w:space="0" w:color="auto"/>
      </w:divBdr>
    </w:div>
    <w:div w:id="1004210637">
      <w:bodyDiv w:val="1"/>
      <w:marLeft w:val="0"/>
      <w:marRight w:val="0"/>
      <w:marTop w:val="0"/>
      <w:marBottom w:val="0"/>
      <w:divBdr>
        <w:top w:val="none" w:sz="0" w:space="0" w:color="auto"/>
        <w:left w:val="none" w:sz="0" w:space="0" w:color="auto"/>
        <w:bottom w:val="none" w:sz="0" w:space="0" w:color="auto"/>
        <w:right w:val="none" w:sz="0" w:space="0" w:color="auto"/>
      </w:divBdr>
    </w:div>
    <w:div w:id="1027948907">
      <w:bodyDiv w:val="1"/>
      <w:marLeft w:val="0"/>
      <w:marRight w:val="0"/>
      <w:marTop w:val="0"/>
      <w:marBottom w:val="0"/>
      <w:divBdr>
        <w:top w:val="none" w:sz="0" w:space="0" w:color="auto"/>
        <w:left w:val="none" w:sz="0" w:space="0" w:color="auto"/>
        <w:bottom w:val="none" w:sz="0" w:space="0" w:color="auto"/>
        <w:right w:val="none" w:sz="0" w:space="0" w:color="auto"/>
      </w:divBdr>
    </w:div>
    <w:div w:id="1165629573">
      <w:bodyDiv w:val="1"/>
      <w:marLeft w:val="0"/>
      <w:marRight w:val="0"/>
      <w:marTop w:val="0"/>
      <w:marBottom w:val="0"/>
      <w:divBdr>
        <w:top w:val="none" w:sz="0" w:space="0" w:color="auto"/>
        <w:left w:val="none" w:sz="0" w:space="0" w:color="auto"/>
        <w:bottom w:val="none" w:sz="0" w:space="0" w:color="auto"/>
        <w:right w:val="none" w:sz="0" w:space="0" w:color="auto"/>
      </w:divBdr>
    </w:div>
    <w:div w:id="1173645449">
      <w:bodyDiv w:val="1"/>
      <w:marLeft w:val="0"/>
      <w:marRight w:val="0"/>
      <w:marTop w:val="0"/>
      <w:marBottom w:val="0"/>
      <w:divBdr>
        <w:top w:val="none" w:sz="0" w:space="0" w:color="auto"/>
        <w:left w:val="none" w:sz="0" w:space="0" w:color="auto"/>
        <w:bottom w:val="none" w:sz="0" w:space="0" w:color="auto"/>
        <w:right w:val="none" w:sz="0" w:space="0" w:color="auto"/>
      </w:divBdr>
    </w:div>
    <w:div w:id="1194999694">
      <w:bodyDiv w:val="1"/>
      <w:marLeft w:val="0"/>
      <w:marRight w:val="0"/>
      <w:marTop w:val="0"/>
      <w:marBottom w:val="0"/>
      <w:divBdr>
        <w:top w:val="none" w:sz="0" w:space="0" w:color="auto"/>
        <w:left w:val="none" w:sz="0" w:space="0" w:color="auto"/>
        <w:bottom w:val="none" w:sz="0" w:space="0" w:color="auto"/>
        <w:right w:val="none" w:sz="0" w:space="0" w:color="auto"/>
      </w:divBdr>
    </w:div>
    <w:div w:id="1225793453">
      <w:bodyDiv w:val="1"/>
      <w:marLeft w:val="0"/>
      <w:marRight w:val="0"/>
      <w:marTop w:val="0"/>
      <w:marBottom w:val="0"/>
      <w:divBdr>
        <w:top w:val="none" w:sz="0" w:space="0" w:color="auto"/>
        <w:left w:val="none" w:sz="0" w:space="0" w:color="auto"/>
        <w:bottom w:val="none" w:sz="0" w:space="0" w:color="auto"/>
        <w:right w:val="none" w:sz="0" w:space="0" w:color="auto"/>
      </w:divBdr>
    </w:div>
    <w:div w:id="1226376405">
      <w:bodyDiv w:val="1"/>
      <w:marLeft w:val="0"/>
      <w:marRight w:val="0"/>
      <w:marTop w:val="0"/>
      <w:marBottom w:val="0"/>
      <w:divBdr>
        <w:top w:val="none" w:sz="0" w:space="0" w:color="auto"/>
        <w:left w:val="none" w:sz="0" w:space="0" w:color="auto"/>
        <w:bottom w:val="none" w:sz="0" w:space="0" w:color="auto"/>
        <w:right w:val="none" w:sz="0" w:space="0" w:color="auto"/>
      </w:divBdr>
      <w:divsChild>
        <w:div w:id="719792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76309">
      <w:bodyDiv w:val="1"/>
      <w:marLeft w:val="0"/>
      <w:marRight w:val="0"/>
      <w:marTop w:val="0"/>
      <w:marBottom w:val="0"/>
      <w:divBdr>
        <w:top w:val="none" w:sz="0" w:space="0" w:color="auto"/>
        <w:left w:val="none" w:sz="0" w:space="0" w:color="auto"/>
        <w:bottom w:val="none" w:sz="0" w:space="0" w:color="auto"/>
        <w:right w:val="none" w:sz="0" w:space="0" w:color="auto"/>
      </w:divBdr>
    </w:div>
    <w:div w:id="1498687742">
      <w:bodyDiv w:val="1"/>
      <w:marLeft w:val="0"/>
      <w:marRight w:val="0"/>
      <w:marTop w:val="0"/>
      <w:marBottom w:val="0"/>
      <w:divBdr>
        <w:top w:val="none" w:sz="0" w:space="0" w:color="auto"/>
        <w:left w:val="none" w:sz="0" w:space="0" w:color="auto"/>
        <w:bottom w:val="none" w:sz="0" w:space="0" w:color="auto"/>
        <w:right w:val="none" w:sz="0" w:space="0" w:color="auto"/>
      </w:divBdr>
      <w:divsChild>
        <w:div w:id="637347378">
          <w:marLeft w:val="0"/>
          <w:marRight w:val="0"/>
          <w:marTop w:val="0"/>
          <w:marBottom w:val="0"/>
          <w:divBdr>
            <w:top w:val="none" w:sz="0" w:space="0" w:color="auto"/>
            <w:left w:val="none" w:sz="0" w:space="0" w:color="auto"/>
            <w:bottom w:val="none" w:sz="0" w:space="0" w:color="auto"/>
            <w:right w:val="none" w:sz="0" w:space="0" w:color="auto"/>
          </w:divBdr>
        </w:div>
      </w:divsChild>
    </w:div>
    <w:div w:id="1589389417">
      <w:bodyDiv w:val="1"/>
      <w:marLeft w:val="0"/>
      <w:marRight w:val="0"/>
      <w:marTop w:val="0"/>
      <w:marBottom w:val="0"/>
      <w:divBdr>
        <w:top w:val="none" w:sz="0" w:space="0" w:color="auto"/>
        <w:left w:val="none" w:sz="0" w:space="0" w:color="auto"/>
        <w:bottom w:val="none" w:sz="0" w:space="0" w:color="auto"/>
        <w:right w:val="none" w:sz="0" w:space="0" w:color="auto"/>
      </w:divBdr>
    </w:div>
    <w:div w:id="1589920720">
      <w:bodyDiv w:val="1"/>
      <w:marLeft w:val="0"/>
      <w:marRight w:val="0"/>
      <w:marTop w:val="0"/>
      <w:marBottom w:val="0"/>
      <w:divBdr>
        <w:top w:val="none" w:sz="0" w:space="0" w:color="auto"/>
        <w:left w:val="none" w:sz="0" w:space="0" w:color="auto"/>
        <w:bottom w:val="none" w:sz="0" w:space="0" w:color="auto"/>
        <w:right w:val="none" w:sz="0" w:space="0" w:color="auto"/>
      </w:divBdr>
    </w:div>
    <w:div w:id="1599946394">
      <w:bodyDiv w:val="1"/>
      <w:marLeft w:val="0"/>
      <w:marRight w:val="0"/>
      <w:marTop w:val="0"/>
      <w:marBottom w:val="0"/>
      <w:divBdr>
        <w:top w:val="none" w:sz="0" w:space="0" w:color="auto"/>
        <w:left w:val="none" w:sz="0" w:space="0" w:color="auto"/>
        <w:bottom w:val="none" w:sz="0" w:space="0" w:color="auto"/>
        <w:right w:val="none" w:sz="0" w:space="0" w:color="auto"/>
      </w:divBdr>
    </w:div>
    <w:div w:id="1618172149">
      <w:bodyDiv w:val="1"/>
      <w:marLeft w:val="0"/>
      <w:marRight w:val="0"/>
      <w:marTop w:val="0"/>
      <w:marBottom w:val="0"/>
      <w:divBdr>
        <w:top w:val="none" w:sz="0" w:space="0" w:color="auto"/>
        <w:left w:val="none" w:sz="0" w:space="0" w:color="auto"/>
        <w:bottom w:val="none" w:sz="0" w:space="0" w:color="auto"/>
        <w:right w:val="none" w:sz="0" w:space="0" w:color="auto"/>
      </w:divBdr>
      <w:divsChild>
        <w:div w:id="112704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302893">
              <w:marLeft w:val="0"/>
              <w:marRight w:val="0"/>
              <w:marTop w:val="0"/>
              <w:marBottom w:val="0"/>
              <w:divBdr>
                <w:top w:val="none" w:sz="0" w:space="0" w:color="auto"/>
                <w:left w:val="none" w:sz="0" w:space="0" w:color="auto"/>
                <w:bottom w:val="none" w:sz="0" w:space="0" w:color="auto"/>
                <w:right w:val="none" w:sz="0" w:space="0" w:color="auto"/>
              </w:divBdr>
              <w:divsChild>
                <w:div w:id="79318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2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2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269810">
              <w:marLeft w:val="0"/>
              <w:marRight w:val="0"/>
              <w:marTop w:val="0"/>
              <w:marBottom w:val="0"/>
              <w:divBdr>
                <w:top w:val="none" w:sz="0" w:space="0" w:color="auto"/>
                <w:left w:val="none" w:sz="0" w:space="0" w:color="auto"/>
                <w:bottom w:val="none" w:sz="0" w:space="0" w:color="auto"/>
                <w:right w:val="none" w:sz="0" w:space="0" w:color="auto"/>
              </w:divBdr>
              <w:divsChild>
                <w:div w:id="34105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9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407">
      <w:bodyDiv w:val="1"/>
      <w:marLeft w:val="0"/>
      <w:marRight w:val="0"/>
      <w:marTop w:val="0"/>
      <w:marBottom w:val="0"/>
      <w:divBdr>
        <w:top w:val="none" w:sz="0" w:space="0" w:color="auto"/>
        <w:left w:val="none" w:sz="0" w:space="0" w:color="auto"/>
        <w:bottom w:val="none" w:sz="0" w:space="0" w:color="auto"/>
        <w:right w:val="none" w:sz="0" w:space="0" w:color="auto"/>
      </w:divBdr>
    </w:div>
    <w:div w:id="1673069447">
      <w:bodyDiv w:val="1"/>
      <w:marLeft w:val="0"/>
      <w:marRight w:val="0"/>
      <w:marTop w:val="0"/>
      <w:marBottom w:val="0"/>
      <w:divBdr>
        <w:top w:val="none" w:sz="0" w:space="0" w:color="auto"/>
        <w:left w:val="none" w:sz="0" w:space="0" w:color="auto"/>
        <w:bottom w:val="none" w:sz="0" w:space="0" w:color="auto"/>
        <w:right w:val="none" w:sz="0" w:space="0" w:color="auto"/>
      </w:divBdr>
    </w:div>
    <w:div w:id="1684165927">
      <w:bodyDiv w:val="1"/>
      <w:marLeft w:val="0"/>
      <w:marRight w:val="0"/>
      <w:marTop w:val="0"/>
      <w:marBottom w:val="0"/>
      <w:divBdr>
        <w:top w:val="none" w:sz="0" w:space="0" w:color="auto"/>
        <w:left w:val="none" w:sz="0" w:space="0" w:color="auto"/>
        <w:bottom w:val="none" w:sz="0" w:space="0" w:color="auto"/>
        <w:right w:val="none" w:sz="0" w:space="0" w:color="auto"/>
      </w:divBdr>
    </w:div>
    <w:div w:id="1898122153">
      <w:bodyDiv w:val="1"/>
      <w:marLeft w:val="0"/>
      <w:marRight w:val="0"/>
      <w:marTop w:val="0"/>
      <w:marBottom w:val="0"/>
      <w:divBdr>
        <w:top w:val="none" w:sz="0" w:space="0" w:color="auto"/>
        <w:left w:val="none" w:sz="0" w:space="0" w:color="auto"/>
        <w:bottom w:val="none" w:sz="0" w:space="0" w:color="auto"/>
        <w:right w:val="none" w:sz="0" w:space="0" w:color="auto"/>
      </w:divBdr>
      <w:divsChild>
        <w:div w:id="15696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1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05878">
      <w:bodyDiv w:val="1"/>
      <w:marLeft w:val="0"/>
      <w:marRight w:val="0"/>
      <w:marTop w:val="0"/>
      <w:marBottom w:val="0"/>
      <w:divBdr>
        <w:top w:val="none" w:sz="0" w:space="0" w:color="auto"/>
        <w:left w:val="none" w:sz="0" w:space="0" w:color="auto"/>
        <w:bottom w:val="none" w:sz="0" w:space="0" w:color="auto"/>
        <w:right w:val="none" w:sz="0" w:space="0" w:color="auto"/>
      </w:divBdr>
      <w:divsChild>
        <w:div w:id="422729283">
          <w:marLeft w:val="0"/>
          <w:marRight w:val="0"/>
          <w:marTop w:val="0"/>
          <w:marBottom w:val="0"/>
          <w:divBdr>
            <w:top w:val="none" w:sz="0" w:space="0" w:color="auto"/>
            <w:left w:val="none" w:sz="0" w:space="0" w:color="auto"/>
            <w:bottom w:val="double" w:sz="6" w:space="1" w:color="auto"/>
            <w:right w:val="none" w:sz="0" w:space="0" w:color="auto"/>
          </w:divBdr>
        </w:div>
      </w:divsChild>
    </w:div>
    <w:div w:id="1991639066">
      <w:bodyDiv w:val="1"/>
      <w:marLeft w:val="0"/>
      <w:marRight w:val="0"/>
      <w:marTop w:val="0"/>
      <w:marBottom w:val="0"/>
      <w:divBdr>
        <w:top w:val="none" w:sz="0" w:space="0" w:color="auto"/>
        <w:left w:val="none" w:sz="0" w:space="0" w:color="auto"/>
        <w:bottom w:val="none" w:sz="0" w:space="0" w:color="auto"/>
        <w:right w:val="none" w:sz="0" w:space="0" w:color="auto"/>
      </w:divBdr>
    </w:div>
    <w:div w:id="200555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ga.a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2D0EF-367C-4904-B6D6-CC9324A8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862</Words>
  <Characters>4915</Characters>
  <Application>Microsoft Office Word</Application>
  <DocSecurity>0</DocSecurity>
  <Lines>40</Lines>
  <Paragraphs>11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HP</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insula</cp:lastModifiedBy>
  <cp:revision>76</cp:revision>
  <dcterms:created xsi:type="dcterms:W3CDTF">2020-01-17T07:32:00Z</dcterms:created>
  <dcterms:modified xsi:type="dcterms:W3CDTF">2020-03-09T07:36:00Z</dcterms:modified>
</cp:coreProperties>
</file>