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01" w:type="pct"/>
        <w:tblCellMar>
          <w:left w:w="0" w:type="dxa"/>
          <w:right w:w="0" w:type="dxa"/>
        </w:tblCellMar>
        <w:tblLook w:val="01E0" w:firstRow="1" w:lastRow="1" w:firstColumn="1" w:lastColumn="1" w:noHBand="0" w:noVBand="0"/>
      </w:tblPr>
      <w:tblGrid>
        <w:gridCol w:w="6737"/>
        <w:gridCol w:w="205"/>
        <w:gridCol w:w="2676"/>
      </w:tblGrid>
      <w:tr w:rsidR="00F00CE6" w:rsidRPr="003F1EC5" w14:paraId="011BE5B9" w14:textId="77777777" w:rsidTr="00FF5C59">
        <w:trPr>
          <w:trHeight w:val="617"/>
        </w:trPr>
        <w:tc>
          <w:tcPr>
            <w:tcW w:w="6737" w:type="dxa"/>
            <w:vMerge w:val="restart"/>
            <w:tcMar>
              <w:top w:w="0" w:type="dxa"/>
              <w:left w:w="0" w:type="dxa"/>
              <w:bottom w:w="76" w:type="dxa"/>
            </w:tcMar>
          </w:tcPr>
          <w:p w14:paraId="23E5FD1B" w14:textId="0DB74431" w:rsidR="00F00CE6" w:rsidRPr="003F1EC5" w:rsidRDefault="004F5596" w:rsidP="00167252">
            <w:pPr>
              <w:spacing w:after="0" w:line="293" w:lineRule="atLeast"/>
              <w:rPr>
                <w:rFonts w:ascii="ING Me" w:hAnsi="ING Me"/>
              </w:rPr>
            </w:pPr>
            <w:r w:rsidRPr="003F1EC5">
              <w:rPr>
                <w:rFonts w:ascii="ING Me" w:hAnsi="ING Me"/>
                <w:noProof/>
                <w:lang w:val="en-US"/>
              </w:rPr>
              <w:drawing>
                <wp:inline distT="0" distB="0" distL="0" distR="0" wp14:anchorId="6D34F1D5" wp14:editId="61EFD0FC">
                  <wp:extent cx="1206354" cy="445828"/>
                  <wp:effectExtent l="0" t="0" r="0" b="0"/>
                  <wp:docPr id="2" name="Resim 2" descr="C:\Users\user8\Downloads\ING_YENI_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8\Downloads\ING_YENI_LOGO_PANTO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359" cy="461352"/>
                          </a:xfrm>
                          <a:prstGeom prst="rect">
                            <a:avLst/>
                          </a:prstGeom>
                          <a:noFill/>
                          <a:ln>
                            <a:noFill/>
                          </a:ln>
                        </pic:spPr>
                      </pic:pic>
                    </a:graphicData>
                  </a:graphic>
                </wp:inline>
              </w:drawing>
            </w:r>
          </w:p>
        </w:tc>
        <w:tc>
          <w:tcPr>
            <w:tcW w:w="205" w:type="dxa"/>
            <w:tcMar>
              <w:left w:w="0" w:type="dxa"/>
            </w:tcMar>
            <w:vAlign w:val="center"/>
          </w:tcPr>
          <w:p w14:paraId="492BC355" w14:textId="77777777" w:rsidR="00F00CE6" w:rsidRPr="003F1EC5" w:rsidRDefault="00F00CE6" w:rsidP="00167252">
            <w:pPr>
              <w:spacing w:after="0" w:line="293" w:lineRule="atLeast"/>
              <w:rPr>
                <w:rFonts w:ascii="ING Me" w:hAnsi="ING Me"/>
              </w:rPr>
            </w:pPr>
            <w:r w:rsidRPr="003F1EC5">
              <w:rPr>
                <w:rFonts w:ascii="ING Me" w:hAnsi="ING Me"/>
                <w:noProof/>
                <w:lang w:val="en-US"/>
              </w:rPr>
              <mc:AlternateContent>
                <mc:Choice Requires="wps">
                  <w:drawing>
                    <wp:anchor distT="0" distB="0" distL="114300" distR="114300" simplePos="0" relativeHeight="251659264" behindDoc="1" locked="0" layoutInCell="1" allowOverlap="1" wp14:anchorId="61B61A6B" wp14:editId="22206220">
                      <wp:simplePos x="0" y="0"/>
                      <wp:positionH relativeFrom="column">
                        <wp:posOffset>5080</wp:posOffset>
                      </wp:positionH>
                      <wp:positionV relativeFrom="paragraph">
                        <wp:posOffset>-11430</wp:posOffset>
                      </wp:positionV>
                      <wp:extent cx="2303145" cy="269240"/>
                      <wp:effectExtent l="0" t="0" r="1905"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3145" cy="269240"/>
                              </a:xfrm>
                              <a:custGeom>
                                <a:avLst/>
                                <a:gdLst>
                                  <a:gd name="T0" fmla="*/ 24 w 724"/>
                                  <a:gd name="T1" fmla="*/ 0 h 84"/>
                                  <a:gd name="T2" fmla="*/ 0 w 724"/>
                                  <a:gd name="T3" fmla="*/ 24 h 84"/>
                                  <a:gd name="T4" fmla="*/ 0 w 724"/>
                                  <a:gd name="T5" fmla="*/ 60 h 84"/>
                                  <a:gd name="T6" fmla="*/ 24 w 724"/>
                                  <a:gd name="T7" fmla="*/ 84 h 84"/>
                                  <a:gd name="T8" fmla="*/ 724 w 724"/>
                                  <a:gd name="T9" fmla="*/ 84 h 84"/>
                                  <a:gd name="T10" fmla="*/ 724 w 724"/>
                                  <a:gd name="T11" fmla="*/ 0 h 84"/>
                                  <a:gd name="T12" fmla="*/ 24 w 724"/>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24" h="84">
                                    <a:moveTo>
                                      <a:pt x="24" y="0"/>
                                    </a:moveTo>
                                    <a:cubicBezTo>
                                      <a:pt x="24" y="0"/>
                                      <a:pt x="0" y="0"/>
                                      <a:pt x="0" y="24"/>
                                    </a:cubicBezTo>
                                    <a:cubicBezTo>
                                      <a:pt x="0" y="60"/>
                                      <a:pt x="0" y="60"/>
                                      <a:pt x="0" y="60"/>
                                    </a:cubicBezTo>
                                    <a:cubicBezTo>
                                      <a:pt x="0" y="60"/>
                                      <a:pt x="0" y="84"/>
                                      <a:pt x="24" y="84"/>
                                    </a:cubicBezTo>
                                    <a:cubicBezTo>
                                      <a:pt x="724" y="84"/>
                                      <a:pt x="724" y="84"/>
                                      <a:pt x="724" y="84"/>
                                    </a:cubicBezTo>
                                    <a:cubicBezTo>
                                      <a:pt x="724" y="0"/>
                                      <a:pt x="724" y="0"/>
                                      <a:pt x="724" y="0"/>
                                    </a:cubicBezTo>
                                    <a:lnTo>
                                      <a:pt x="24" y="0"/>
                                    </a:lnTo>
                                    <a:close/>
                                  </a:path>
                                </a:pathLst>
                              </a:custGeom>
                              <a:solidFill>
                                <a:srgbClr val="FF62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CABCB30" id="Freeform 5" o:spid="_x0000_s1026" style="position:absolute;margin-left:.4pt;margin-top:-.9pt;width:181.35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" path="m24,c24,,,,,24,,60,,60,,60v,,,24,24,24c724,84,724,84,724,84,724,,724,,724,l24,xe" fillcolor="#ff6200" stroked="f">
                      <v:path arrowok="t" o:connecttype="custom" o:connectlocs="76347,0;0,76926;0,192314;76347,269240;2303145,269240;2303145,0;76347,0" o:connectangles="0,0,0,0,0,0,0"/>
                    </v:shape>
                  </w:pict>
                </mc:Fallback>
              </mc:AlternateContent>
            </w:r>
          </w:p>
        </w:tc>
        <w:tc>
          <w:tcPr>
            <w:tcW w:w="2676" w:type="dxa"/>
            <w:vAlign w:val="center"/>
          </w:tcPr>
          <w:p w14:paraId="2EF17B82" w14:textId="77777777" w:rsidR="00F00CE6" w:rsidRPr="003F1EC5" w:rsidRDefault="00F00CE6" w:rsidP="00167252">
            <w:pPr>
              <w:spacing w:after="0" w:line="293" w:lineRule="atLeast"/>
              <w:rPr>
                <w:rFonts w:ascii="ING Me" w:hAnsi="ING Me"/>
                <w:b/>
                <w:sz w:val="30"/>
                <w:szCs w:val="30"/>
              </w:rPr>
            </w:pPr>
            <w:r w:rsidRPr="003F1EC5">
              <w:rPr>
                <w:rFonts w:ascii="ING Me" w:hAnsi="ING Me"/>
                <w:b/>
                <w:color w:val="FFFFFF" w:themeColor="background1"/>
                <w:sz w:val="30"/>
                <w:szCs w:val="30"/>
              </w:rPr>
              <w:t>Basın Bülteni</w:t>
            </w:r>
          </w:p>
        </w:tc>
      </w:tr>
      <w:tr w:rsidR="00F00CE6" w:rsidRPr="003F1EC5" w14:paraId="2D2EC151" w14:textId="77777777" w:rsidTr="00FF5C59">
        <w:trPr>
          <w:trHeight w:val="240"/>
        </w:trPr>
        <w:tc>
          <w:tcPr>
            <w:tcW w:w="6737" w:type="dxa"/>
            <w:vMerge/>
            <w:tcMar>
              <w:top w:w="0" w:type="dxa"/>
              <w:left w:w="0" w:type="dxa"/>
            </w:tcMar>
            <w:vAlign w:val="bottom"/>
          </w:tcPr>
          <w:p w14:paraId="2648A63A" w14:textId="77777777" w:rsidR="00F00CE6" w:rsidRPr="003F1EC5" w:rsidRDefault="00F00CE6" w:rsidP="00167252">
            <w:pPr>
              <w:pStyle w:val="Headingtop"/>
              <w:spacing w:line="293" w:lineRule="atLeast"/>
            </w:pPr>
          </w:p>
        </w:tc>
        <w:tc>
          <w:tcPr>
            <w:tcW w:w="2881" w:type="dxa"/>
            <w:gridSpan w:val="2"/>
            <w:vAlign w:val="bottom"/>
          </w:tcPr>
          <w:p w14:paraId="4C1DC581" w14:textId="77777777" w:rsidR="00F00CE6" w:rsidRPr="003F1EC5" w:rsidRDefault="00F00CE6" w:rsidP="00167252">
            <w:pPr>
              <w:pStyle w:val="HeadingDatum"/>
              <w:framePr w:hSpace="0" w:wrap="auto" w:vAnchor="margin" w:hAnchor="text" w:yAlign="inline"/>
              <w:spacing w:line="293" w:lineRule="atLeast"/>
              <w:jc w:val="left"/>
              <w:rPr>
                <w:rFonts w:ascii="ING Me" w:hAnsi="ING Me"/>
                <w:b/>
                <w:sz w:val="18"/>
                <w:szCs w:val="18"/>
                <w:lang w:val="tr-TR"/>
              </w:rPr>
            </w:pPr>
            <w:r w:rsidRPr="003F1EC5">
              <w:rPr>
                <w:rFonts w:ascii="ING Me" w:hAnsi="ING Me"/>
                <w:b/>
                <w:color w:val="44546A" w:themeColor="text2"/>
                <w:sz w:val="18"/>
                <w:szCs w:val="18"/>
                <w:lang w:val="tr-TR"/>
              </w:rPr>
              <w:t xml:space="preserve">İletişim ve Marka Deneyimi Grubu </w:t>
            </w:r>
          </w:p>
        </w:tc>
      </w:tr>
      <w:tr w:rsidR="00F00CE6" w:rsidRPr="003F1EC5" w14:paraId="6D438B7E" w14:textId="77777777" w:rsidTr="00FF5C59">
        <w:trPr>
          <w:trHeight w:val="321"/>
        </w:trPr>
        <w:tc>
          <w:tcPr>
            <w:tcW w:w="6737" w:type="dxa"/>
            <w:vMerge/>
            <w:tcMar>
              <w:top w:w="0" w:type="dxa"/>
              <w:left w:w="0" w:type="dxa"/>
            </w:tcMar>
            <w:vAlign w:val="bottom"/>
          </w:tcPr>
          <w:p w14:paraId="75BAFB51" w14:textId="77777777" w:rsidR="00F00CE6" w:rsidRPr="003F1EC5" w:rsidRDefault="00F00CE6" w:rsidP="00167252">
            <w:pPr>
              <w:pStyle w:val="Headingtop"/>
              <w:spacing w:line="293" w:lineRule="atLeast"/>
            </w:pPr>
          </w:p>
        </w:tc>
        <w:tc>
          <w:tcPr>
            <w:tcW w:w="2881" w:type="dxa"/>
            <w:gridSpan w:val="2"/>
            <w:vAlign w:val="bottom"/>
          </w:tcPr>
          <w:p w14:paraId="214849CA" w14:textId="1169C026" w:rsidR="00F00CE6" w:rsidRPr="003F1EC5" w:rsidRDefault="00F00CE6" w:rsidP="00167252">
            <w:pPr>
              <w:pStyle w:val="HeadingDatum"/>
              <w:framePr w:hSpace="0" w:wrap="auto" w:vAnchor="margin" w:hAnchor="text" w:yAlign="inline"/>
              <w:spacing w:line="293" w:lineRule="atLeast"/>
              <w:jc w:val="left"/>
              <w:rPr>
                <w:rFonts w:ascii="ING Me" w:hAnsi="ING Me"/>
                <w:sz w:val="18"/>
                <w:szCs w:val="18"/>
                <w:lang w:val="tr-TR"/>
              </w:rPr>
            </w:pPr>
            <w:r w:rsidRPr="003F1EC5">
              <w:rPr>
                <w:rFonts w:ascii="ING Me" w:hAnsi="ING Me"/>
                <w:sz w:val="18"/>
                <w:szCs w:val="18"/>
                <w:lang w:val="tr-TR"/>
              </w:rPr>
              <w:t>İstanbul,</w:t>
            </w:r>
            <w:r w:rsidR="00EE6F6C" w:rsidRPr="003F1EC5">
              <w:rPr>
                <w:rFonts w:ascii="ING Me" w:hAnsi="ING Me"/>
                <w:sz w:val="18"/>
                <w:szCs w:val="18"/>
                <w:lang w:val="tr-TR"/>
              </w:rPr>
              <w:t xml:space="preserve"> </w:t>
            </w:r>
            <w:r w:rsidR="009F53D3" w:rsidRPr="009F53D3">
              <w:rPr>
                <w:rFonts w:ascii="ING Me" w:hAnsi="ING Me"/>
                <w:sz w:val="18"/>
                <w:szCs w:val="18"/>
                <w:lang w:val="tr-TR"/>
              </w:rPr>
              <w:t>15</w:t>
            </w:r>
            <w:r w:rsidR="003E6F3C" w:rsidRPr="00807022">
              <w:rPr>
                <w:rFonts w:ascii="ING Me" w:hAnsi="ING Me"/>
                <w:sz w:val="18"/>
                <w:szCs w:val="18"/>
                <w:lang w:val="tr-TR"/>
              </w:rPr>
              <w:t xml:space="preserve"> </w:t>
            </w:r>
            <w:r w:rsidR="006F6186">
              <w:rPr>
                <w:rFonts w:ascii="ING Me" w:hAnsi="ING Me"/>
                <w:sz w:val="18"/>
                <w:szCs w:val="18"/>
                <w:lang w:val="tr-TR"/>
              </w:rPr>
              <w:t>Kasım</w:t>
            </w:r>
            <w:r w:rsidR="008175C4" w:rsidRPr="003F1EC5">
              <w:rPr>
                <w:rFonts w:ascii="ING Me" w:hAnsi="ING Me"/>
                <w:sz w:val="18"/>
                <w:szCs w:val="18"/>
                <w:lang w:val="tr-TR"/>
              </w:rPr>
              <w:t xml:space="preserve"> </w:t>
            </w:r>
            <w:r w:rsidR="009E1415" w:rsidRPr="003F1EC5">
              <w:rPr>
                <w:rFonts w:ascii="ING Me" w:hAnsi="ING Me"/>
                <w:sz w:val="18"/>
                <w:szCs w:val="18"/>
                <w:lang w:val="tr-TR"/>
              </w:rPr>
              <w:t>2020</w:t>
            </w:r>
          </w:p>
        </w:tc>
      </w:tr>
    </w:tbl>
    <w:p w14:paraId="6101091A" w14:textId="77777777" w:rsidR="00E06A03" w:rsidRPr="003F1EC5" w:rsidRDefault="00E06A03" w:rsidP="00167252">
      <w:pPr>
        <w:shd w:val="clear" w:color="auto" w:fill="FFFFFF"/>
        <w:spacing w:after="0" w:line="293" w:lineRule="atLeast"/>
        <w:rPr>
          <w:rFonts w:ascii="ING Me" w:eastAsia="Times New Roman" w:hAnsi="ING Me" w:cs="Arial"/>
          <w:b/>
          <w:bCs/>
          <w:color w:val="222222"/>
          <w:sz w:val="36"/>
          <w:szCs w:val="36"/>
          <w:lang w:eastAsia="tr-TR"/>
        </w:rPr>
      </w:pPr>
    </w:p>
    <w:p w14:paraId="241D1B36" w14:textId="142D6F1A" w:rsidR="0005003B" w:rsidRPr="003F1EC5" w:rsidRDefault="00E52510" w:rsidP="00167252">
      <w:pPr>
        <w:shd w:val="clear" w:color="auto" w:fill="FFFFFF"/>
        <w:spacing w:after="0" w:line="293" w:lineRule="atLeast"/>
        <w:rPr>
          <w:rFonts w:ascii="ING Me" w:eastAsia="Times New Roman" w:hAnsi="ING Me" w:cs="Times New Roman"/>
          <w:color w:val="222222"/>
          <w:sz w:val="24"/>
          <w:szCs w:val="24"/>
          <w:lang w:eastAsia="tr-TR"/>
        </w:rPr>
      </w:pPr>
      <w:r w:rsidRPr="003F1EC5">
        <w:rPr>
          <w:rFonts w:ascii="ING Me" w:eastAsia="Times New Roman" w:hAnsi="ING Me" w:cs="Times New Roman"/>
          <w:color w:val="222222"/>
          <w:sz w:val="24"/>
          <w:szCs w:val="24"/>
          <w:lang w:eastAsia="tr-TR"/>
        </w:rPr>
        <w:t> </w:t>
      </w:r>
    </w:p>
    <w:p w14:paraId="2D992DC8" w14:textId="739BD64C" w:rsidR="004566D9" w:rsidRPr="006F6186" w:rsidRDefault="009F53D3" w:rsidP="00167252">
      <w:pPr>
        <w:shd w:val="clear" w:color="auto" w:fill="FFFFFF"/>
        <w:spacing w:after="0" w:line="293" w:lineRule="atLeast"/>
        <w:ind w:left="-567" w:right="-567"/>
        <w:jc w:val="center"/>
        <w:rPr>
          <w:rFonts w:ascii="ING Me" w:eastAsia="Times New Roman" w:hAnsi="ING Me" w:cs="Arial"/>
          <w:b/>
          <w:bCs/>
          <w:color w:val="222222"/>
          <w:sz w:val="28"/>
          <w:szCs w:val="28"/>
          <w:u w:val="single"/>
          <w:lang w:eastAsia="tr-TR"/>
        </w:rPr>
      </w:pPr>
      <w:r w:rsidRPr="009F53D3">
        <w:rPr>
          <w:rFonts w:ascii="ING Me" w:eastAsia="Times New Roman" w:hAnsi="ING Me" w:cs="Arial"/>
          <w:b/>
          <w:bCs/>
          <w:color w:val="222222"/>
          <w:sz w:val="28"/>
          <w:szCs w:val="28"/>
          <w:u w:val="single"/>
          <w:lang w:eastAsia="tr-TR"/>
        </w:rPr>
        <w:t>TASARRUF SAHİPLİĞİ ORANI YÜZDE 20,2 İLE ZİRVEYE ULAŞTI</w:t>
      </w:r>
    </w:p>
    <w:p w14:paraId="79C658F7" w14:textId="77777777" w:rsidR="00807022" w:rsidRPr="003F1EC5" w:rsidRDefault="00807022" w:rsidP="00167252">
      <w:pPr>
        <w:shd w:val="clear" w:color="auto" w:fill="FFFFFF"/>
        <w:spacing w:after="0" w:line="293" w:lineRule="atLeast"/>
        <w:jc w:val="center"/>
        <w:rPr>
          <w:rFonts w:ascii="ING Me" w:eastAsia="Times New Roman" w:hAnsi="ING Me" w:cs="Arial"/>
          <w:b/>
          <w:bCs/>
          <w:color w:val="222222"/>
          <w:sz w:val="28"/>
          <w:szCs w:val="28"/>
          <w:u w:val="single"/>
          <w:lang w:eastAsia="tr-TR"/>
        </w:rPr>
      </w:pPr>
      <w:bookmarkStart w:id="0" w:name="_GoBack"/>
      <w:bookmarkEnd w:id="0"/>
    </w:p>
    <w:p w14:paraId="6E6A397C" w14:textId="71F103E3" w:rsidR="00807022" w:rsidRDefault="009F53D3" w:rsidP="009F53D3">
      <w:pPr>
        <w:shd w:val="clear" w:color="auto" w:fill="FFFFFF"/>
        <w:spacing w:after="0" w:line="293" w:lineRule="atLeast"/>
        <w:ind w:left="-284" w:right="-284"/>
        <w:jc w:val="center"/>
        <w:rPr>
          <w:rFonts w:ascii="ING Me" w:eastAsia="Times New Roman" w:hAnsi="ING Me" w:cs="Arial"/>
          <w:b/>
          <w:bCs/>
          <w:color w:val="222222"/>
          <w:sz w:val="44"/>
          <w:szCs w:val="44"/>
          <w:lang w:eastAsia="tr-TR"/>
        </w:rPr>
      </w:pPr>
      <w:r w:rsidRPr="009F53D3">
        <w:rPr>
          <w:rFonts w:ascii="ING Me" w:eastAsia="Times New Roman" w:hAnsi="ING Me" w:cs="Arial"/>
          <w:b/>
          <w:bCs/>
          <w:color w:val="222222"/>
          <w:sz w:val="44"/>
          <w:szCs w:val="44"/>
          <w:lang w:eastAsia="tr-TR"/>
        </w:rPr>
        <w:t>TÜRKİYE’DE TASARRUF ETME EĞİLİMİ HIZLAND</w:t>
      </w:r>
      <w:r>
        <w:rPr>
          <w:rFonts w:ascii="ING Me" w:eastAsia="Times New Roman" w:hAnsi="ING Me" w:cs="Arial"/>
          <w:b/>
          <w:bCs/>
          <w:color w:val="222222"/>
          <w:sz w:val="44"/>
          <w:szCs w:val="44"/>
          <w:lang w:eastAsia="tr-TR"/>
        </w:rPr>
        <w:t>I</w:t>
      </w:r>
    </w:p>
    <w:p w14:paraId="6BAF2BAD" w14:textId="77777777" w:rsidR="009F53D3" w:rsidRDefault="009F53D3" w:rsidP="009F53D3">
      <w:pPr>
        <w:shd w:val="clear" w:color="auto" w:fill="FFFFFF"/>
        <w:spacing w:after="0" w:line="293" w:lineRule="atLeast"/>
        <w:ind w:left="-284" w:right="-284"/>
        <w:jc w:val="center"/>
        <w:rPr>
          <w:rFonts w:ascii="ING Me" w:eastAsia="Times New Roman" w:hAnsi="ING Me" w:cs="Arial"/>
          <w:b/>
          <w:bCs/>
          <w:color w:val="222222"/>
          <w:sz w:val="24"/>
          <w:szCs w:val="24"/>
          <w:lang w:eastAsia="tr-TR"/>
        </w:rPr>
      </w:pPr>
    </w:p>
    <w:p w14:paraId="5F3F9C55" w14:textId="2D4A9C97" w:rsidR="005426FF" w:rsidRDefault="009F53D3" w:rsidP="00167252">
      <w:pPr>
        <w:shd w:val="clear" w:color="auto" w:fill="FFFFFF"/>
        <w:spacing w:after="0" w:line="293" w:lineRule="atLeast"/>
        <w:jc w:val="center"/>
        <w:rPr>
          <w:rFonts w:ascii="ING Me" w:eastAsia="Times New Roman" w:hAnsi="ING Me" w:cs="Arial"/>
          <w:b/>
          <w:bCs/>
          <w:color w:val="222222"/>
          <w:sz w:val="24"/>
          <w:szCs w:val="24"/>
          <w:lang w:eastAsia="tr-TR"/>
        </w:rPr>
      </w:pPr>
      <w:r w:rsidRPr="009F53D3">
        <w:rPr>
          <w:rFonts w:ascii="ING Me" w:eastAsia="Times New Roman" w:hAnsi="ING Me" w:cs="Arial"/>
          <w:b/>
          <w:bCs/>
          <w:color w:val="222222"/>
          <w:sz w:val="24"/>
          <w:szCs w:val="24"/>
          <w:lang w:eastAsia="tr-TR"/>
        </w:rPr>
        <w:t xml:space="preserve">ING Türkiye tarafından gerçekleştirilen Türkiye’nin Tasarruf Eğilimleri Araştırması’nın 2020 yılı üçüncü çeyrek sonuçlarına göre, Türkiye’de tasarruf yapanların oranı yüzde 20,2’ye çıkarak 2011 yılından bu yana en yüksek seviyeye ulaştı. Katılımcıların tasarruf yapma gerekçeleri; geleceğe yatırım, çocuklar ve beklenmedik durumlara karşı güvence olarak sıralandı. Genç ve çocuksuz bireylerin tasarrufa yönelmesindeki temel etken </w:t>
      </w:r>
      <w:r>
        <w:rPr>
          <w:rFonts w:ascii="ING Me" w:eastAsia="Times New Roman" w:hAnsi="ING Me" w:cs="Arial"/>
          <w:b/>
          <w:bCs/>
          <w:color w:val="222222"/>
          <w:sz w:val="24"/>
          <w:szCs w:val="24"/>
          <w:lang w:eastAsia="tr-TR"/>
        </w:rPr>
        <w:t xml:space="preserve">ise </w:t>
      </w:r>
      <w:r w:rsidRPr="009F53D3">
        <w:rPr>
          <w:rFonts w:ascii="ING Me" w:eastAsia="Times New Roman" w:hAnsi="ING Me" w:cs="Arial"/>
          <w:b/>
          <w:bCs/>
          <w:color w:val="222222"/>
          <w:sz w:val="24"/>
          <w:szCs w:val="24"/>
          <w:lang w:eastAsia="tr-TR"/>
        </w:rPr>
        <w:t>pandemiye bağlı sağlık riskleri ile ekonomik gelişmelere duyarlılığın neden olduğu ihtiyati yaklaşım olarak öne çıktı. Araştırmayı değerlendiren ING Türkiye Bireysel Bankacılık Genel Müdür Yardımcısı Ozan Kırmızı, “Pandemi dolayısıyla yaşanan belirsizlikler tasarrufa yönelimi artırırken ING Türkiye olarak, bu süreçte de her zaman olduğu gibi müşterilerimize tasarruf ederken kazanç sağlayabilecekleri ürün, hizmet ve yatırım araçları sunmaya odaklanıyoruz” dedi.</w:t>
      </w:r>
    </w:p>
    <w:p w14:paraId="02837A5D" w14:textId="77777777" w:rsidR="009F53D3" w:rsidRDefault="009F53D3" w:rsidP="00167252">
      <w:pPr>
        <w:shd w:val="clear" w:color="auto" w:fill="FFFFFF"/>
        <w:spacing w:after="0" w:line="293" w:lineRule="atLeast"/>
        <w:jc w:val="center"/>
        <w:rPr>
          <w:rFonts w:ascii="ING Me" w:eastAsia="Times New Roman" w:hAnsi="ING Me" w:cs="Arial"/>
          <w:b/>
          <w:bCs/>
          <w:color w:val="222222"/>
          <w:sz w:val="24"/>
          <w:szCs w:val="24"/>
          <w:lang w:eastAsia="tr-TR"/>
        </w:rPr>
      </w:pPr>
    </w:p>
    <w:p w14:paraId="56A2DF16" w14:textId="7658F29D" w:rsidR="009F53D3" w:rsidRPr="00B15A8A" w:rsidRDefault="009F53D3" w:rsidP="009F53D3">
      <w:pPr>
        <w:shd w:val="clear" w:color="auto" w:fill="FFFFFF"/>
        <w:spacing w:after="0" w:line="293" w:lineRule="atLeast"/>
        <w:jc w:val="both"/>
        <w:rPr>
          <w:rFonts w:ascii="Arial" w:eastAsia="Times New Roman" w:hAnsi="Arial" w:cs="Arial"/>
          <w:color w:val="222222"/>
        </w:rPr>
      </w:pPr>
      <w:r w:rsidRPr="009F53D3">
        <w:rPr>
          <w:rFonts w:ascii="ING Me" w:eastAsia="Times New Roman" w:hAnsi="ING Me" w:cs="Arial"/>
          <w:color w:val="222222"/>
        </w:rPr>
        <w:t xml:space="preserve">ING Türkiye, Türkiye’de kentsel yerleşim bölgelerinde yaşayan yetişkin bireylerin tasarruf eğilimlerini izlemek amacıyla 2011 yılından bu yana IPSOS iş birliğiyle gerçekleştirdiği “Türkiye’nin Tasarruf Eğilimleri Araştırması”nın (TTEA) 2020 yılı üçüncü çeyrek sonuçlarını açıkladı. Türkiye’nin lider tasarruf bankası olma vizyonuyla faaliyet gösteren ING Türkiye’nin araştırmasına göre, yılın ikinci çeyreğinde yüzde 14,3 olan tasarruf sahipliği oranı, üçüncü çeyrekte araştırma tarihinin en yüksek seviyesine çıkarak yüzde 20,2’ye ulaştı. Tasarruf sahibi olanlar içerisinde düzenli tasarruf yapanların oranı da ikinci çeyreğe göre sekiz puanlık artışla yüzde 63 oldu. Tüm yaş grupları incelendiğinde ise tasarruf yapma gerekçeleri, ‘geleceğe yatırım’, ‘çocuklarım için’, ‘beklenmedik durumlara karşı güvence’ olarak sıralandı. </w:t>
      </w:r>
      <w:r w:rsidRPr="00B15A8A">
        <w:rPr>
          <w:rFonts w:ascii="ING Me" w:eastAsia="Times New Roman" w:hAnsi="ING Me" w:cs="Arial"/>
          <w:color w:val="222222"/>
        </w:rPr>
        <w:t>Araştırmada, tasarrufa yönelen genç ve çocuksuz bireylerin tasarrufa yönelmesindeki temel etken de pandemiye bağlı sağlık riskleri ile ekonomik gelişmelere duyarlılığın neden olduğu ihtiyati yaklaşım ile ilişkilendirildi.</w:t>
      </w:r>
    </w:p>
    <w:p w14:paraId="4C8ACA98" w14:textId="77777777" w:rsidR="009F53D3" w:rsidRPr="00B15A8A" w:rsidRDefault="009F53D3" w:rsidP="009F53D3">
      <w:pPr>
        <w:shd w:val="clear" w:color="auto" w:fill="FFFFFF"/>
        <w:spacing w:after="0" w:line="293" w:lineRule="atLeast"/>
        <w:jc w:val="both"/>
        <w:rPr>
          <w:rFonts w:ascii="ING Me" w:eastAsia="Times New Roman" w:hAnsi="ING Me" w:cs="Arial"/>
          <w:color w:val="222222"/>
        </w:rPr>
      </w:pPr>
    </w:p>
    <w:p w14:paraId="7C8A93D9" w14:textId="11BAF662" w:rsidR="009F53D3" w:rsidRPr="00B15A8A" w:rsidRDefault="009F53D3" w:rsidP="009F53D3">
      <w:pPr>
        <w:shd w:val="clear" w:color="auto" w:fill="FFFFFF"/>
        <w:spacing w:after="0" w:line="293" w:lineRule="atLeast"/>
        <w:jc w:val="both"/>
        <w:rPr>
          <w:rFonts w:ascii="Arial" w:eastAsia="Times New Roman" w:hAnsi="Arial" w:cs="Arial"/>
          <w:color w:val="222222"/>
        </w:rPr>
      </w:pPr>
      <w:r w:rsidRPr="00B15A8A">
        <w:rPr>
          <w:rFonts w:ascii="ING Me" w:eastAsia="Times New Roman" w:hAnsi="ING Me" w:cs="Arial"/>
          <w:b/>
          <w:bCs/>
          <w:color w:val="222222"/>
        </w:rPr>
        <w:t>Düzenli tasarruf yapmayanlar gelecek üç ayı hedefliyor</w:t>
      </w:r>
    </w:p>
    <w:p w14:paraId="14EE9E38" w14:textId="77777777" w:rsidR="009F53D3" w:rsidRPr="00B15A8A" w:rsidRDefault="009F53D3" w:rsidP="009F53D3">
      <w:pPr>
        <w:shd w:val="clear" w:color="auto" w:fill="FFFFFF"/>
        <w:spacing w:after="0" w:line="293" w:lineRule="atLeast"/>
        <w:jc w:val="both"/>
        <w:rPr>
          <w:rFonts w:ascii="ING Me" w:eastAsia="Times New Roman" w:hAnsi="ING Me" w:cs="Arial"/>
          <w:color w:val="222222"/>
        </w:rPr>
      </w:pPr>
    </w:p>
    <w:p w14:paraId="4795D3E3" w14:textId="77777777" w:rsidR="009F53D3" w:rsidRPr="00B15A8A" w:rsidRDefault="009F53D3" w:rsidP="009F53D3">
      <w:pPr>
        <w:shd w:val="clear" w:color="auto" w:fill="FFFFFF"/>
        <w:spacing w:after="0" w:line="293" w:lineRule="atLeast"/>
        <w:jc w:val="both"/>
        <w:rPr>
          <w:rFonts w:ascii="Arial" w:eastAsia="Times New Roman" w:hAnsi="Arial" w:cs="Arial"/>
          <w:color w:val="222222"/>
        </w:rPr>
      </w:pPr>
      <w:r w:rsidRPr="00B15A8A">
        <w:rPr>
          <w:rFonts w:ascii="ING Me" w:eastAsia="Times New Roman" w:hAnsi="ING Me" w:cs="Arial"/>
          <w:color w:val="222222"/>
        </w:rPr>
        <w:t>Araştırma yalnızca tasarruf yapanların değil, tasarruf yapmayı düşünen kişilerin sayının arttığını da ortaya koydu. Buna göre, yakın gelecekte tasarruf yapmayı planlayanların oranı yüzde 37,5’e yükseldi. Bu kişilerden yüzde 16’sı tasarruf planını önümüzdeki üç ayda hayata geçirmeyi planladığını belirtti.</w:t>
      </w:r>
    </w:p>
    <w:p w14:paraId="32A5A47B" w14:textId="59EE95C9" w:rsidR="009F53D3" w:rsidRPr="00B15A8A" w:rsidRDefault="009F53D3" w:rsidP="009F53D3">
      <w:pPr>
        <w:shd w:val="clear" w:color="auto" w:fill="FFFFFF"/>
        <w:spacing w:after="0" w:line="293" w:lineRule="atLeast"/>
        <w:jc w:val="both"/>
        <w:rPr>
          <w:rFonts w:ascii="Arial" w:eastAsia="Times New Roman" w:hAnsi="Arial" w:cs="Arial"/>
          <w:color w:val="222222"/>
        </w:rPr>
      </w:pPr>
      <w:r w:rsidRPr="00B15A8A">
        <w:rPr>
          <w:rFonts w:ascii="ING Me" w:eastAsia="Times New Roman" w:hAnsi="ING Me" w:cs="Arial"/>
          <w:b/>
          <w:bCs/>
          <w:color w:val="222222"/>
        </w:rPr>
        <w:lastRenderedPageBreak/>
        <w:t>25-34 yaş grubu tasarrufa yöneldi</w:t>
      </w:r>
    </w:p>
    <w:p w14:paraId="56AA9A8E" w14:textId="77777777" w:rsidR="009F53D3" w:rsidRPr="00B15A8A" w:rsidRDefault="009F53D3" w:rsidP="009F53D3">
      <w:pPr>
        <w:shd w:val="clear" w:color="auto" w:fill="FFFFFF"/>
        <w:spacing w:after="0" w:line="293" w:lineRule="atLeast"/>
        <w:jc w:val="both"/>
        <w:rPr>
          <w:rFonts w:ascii="Arial" w:eastAsia="Times New Roman" w:hAnsi="Arial" w:cs="Arial"/>
          <w:color w:val="222222"/>
        </w:rPr>
      </w:pPr>
      <w:r w:rsidRPr="00B15A8A">
        <w:rPr>
          <w:rFonts w:ascii="ING Me" w:eastAsia="Times New Roman" w:hAnsi="ING Me" w:cs="Arial"/>
          <w:color w:val="222222"/>
        </w:rPr>
        <w:t> </w:t>
      </w:r>
    </w:p>
    <w:p w14:paraId="1F173AE1" w14:textId="69F825A1" w:rsidR="009F53D3" w:rsidRPr="00B15A8A" w:rsidRDefault="009F53D3" w:rsidP="009F53D3">
      <w:pPr>
        <w:shd w:val="clear" w:color="auto" w:fill="FFFFFF"/>
        <w:spacing w:after="0" w:line="293" w:lineRule="atLeast"/>
        <w:jc w:val="both"/>
        <w:rPr>
          <w:rFonts w:ascii="Arial" w:eastAsia="Times New Roman" w:hAnsi="Arial" w:cs="Arial"/>
          <w:color w:val="222222"/>
        </w:rPr>
      </w:pPr>
      <w:r w:rsidRPr="00B15A8A">
        <w:rPr>
          <w:rFonts w:ascii="ING Me" w:eastAsia="Times New Roman" w:hAnsi="ING Me" w:cs="Arial"/>
          <w:color w:val="222222"/>
        </w:rPr>
        <w:t>Yılın üçüncü çeyreğinde tasarrufa en fazla yönelen kesim, bir önceki çeyreğe göre altı puan artışla yüzde 30 seviyesine ulaşan 25-34 yaş grubu oldu. Çocuksuz bireylerde tasarruf etme durumu ikinci çeyreğe göre dört puanlık artışla yüzde 24’e, çocuklu bireylerde ise yedi puanlık artışla yüzde 18’e çıktı.</w:t>
      </w:r>
    </w:p>
    <w:p w14:paraId="7C1CC9E2" w14:textId="77777777" w:rsidR="009F53D3" w:rsidRPr="00B15A8A" w:rsidRDefault="009F53D3" w:rsidP="009F53D3">
      <w:pPr>
        <w:shd w:val="clear" w:color="auto" w:fill="FFFFFF"/>
        <w:spacing w:after="0" w:line="293" w:lineRule="atLeast"/>
        <w:jc w:val="both"/>
        <w:rPr>
          <w:rFonts w:ascii="Arial" w:eastAsia="Times New Roman" w:hAnsi="Arial" w:cs="Arial"/>
          <w:color w:val="222222"/>
        </w:rPr>
      </w:pPr>
      <w:r w:rsidRPr="00B15A8A">
        <w:rPr>
          <w:rFonts w:ascii="ING Me" w:eastAsia="Times New Roman" w:hAnsi="ING Me" w:cs="Arial"/>
          <w:color w:val="222222"/>
        </w:rPr>
        <w:t> </w:t>
      </w:r>
    </w:p>
    <w:p w14:paraId="3712EAED" w14:textId="7779E600" w:rsidR="009F53D3" w:rsidRPr="00B15A8A" w:rsidRDefault="009F53D3" w:rsidP="009F53D3">
      <w:pPr>
        <w:shd w:val="clear" w:color="auto" w:fill="FFFFFF"/>
        <w:spacing w:after="0" w:line="293" w:lineRule="atLeast"/>
        <w:jc w:val="both"/>
        <w:rPr>
          <w:rFonts w:ascii="Arial" w:eastAsia="Times New Roman" w:hAnsi="Arial" w:cs="Arial"/>
          <w:color w:val="222222"/>
        </w:rPr>
      </w:pPr>
      <w:r w:rsidRPr="00B15A8A">
        <w:rPr>
          <w:rFonts w:ascii="ING Me" w:eastAsia="Times New Roman" w:hAnsi="ING Me" w:cs="Arial"/>
          <w:b/>
          <w:bCs/>
          <w:color w:val="222222"/>
        </w:rPr>
        <w:t>Sistem içi finansal ürünlerin payı yüzde 76 oldu</w:t>
      </w:r>
    </w:p>
    <w:p w14:paraId="01733C6C" w14:textId="77777777" w:rsidR="009F53D3" w:rsidRPr="00B15A8A" w:rsidRDefault="009F53D3" w:rsidP="009F53D3">
      <w:pPr>
        <w:shd w:val="clear" w:color="auto" w:fill="FFFFFF"/>
        <w:spacing w:after="0" w:line="293" w:lineRule="atLeast"/>
        <w:jc w:val="both"/>
        <w:rPr>
          <w:rFonts w:ascii="Arial" w:eastAsia="Times New Roman" w:hAnsi="Arial" w:cs="Arial"/>
          <w:color w:val="222222"/>
        </w:rPr>
      </w:pPr>
      <w:r w:rsidRPr="00B15A8A">
        <w:rPr>
          <w:rFonts w:ascii="ING Me" w:eastAsia="Times New Roman" w:hAnsi="ING Me" w:cs="Arial"/>
          <w:color w:val="222222"/>
        </w:rPr>
        <w:t> </w:t>
      </w:r>
    </w:p>
    <w:p w14:paraId="75939BB1" w14:textId="290611BD" w:rsidR="009F53D3" w:rsidRPr="006F1D76" w:rsidRDefault="009F53D3" w:rsidP="009F53D3">
      <w:pPr>
        <w:shd w:val="clear" w:color="auto" w:fill="FFFFFF"/>
        <w:spacing w:after="0" w:line="293" w:lineRule="atLeast"/>
        <w:jc w:val="both"/>
        <w:rPr>
          <w:rFonts w:ascii="Arial" w:eastAsia="Times New Roman" w:hAnsi="Arial" w:cs="Arial"/>
          <w:color w:val="222222"/>
        </w:rPr>
      </w:pPr>
      <w:r w:rsidRPr="006F1D76">
        <w:rPr>
          <w:rFonts w:ascii="ING Me" w:eastAsia="Times New Roman" w:hAnsi="ING Me" w:cs="Arial"/>
          <w:color w:val="222222"/>
        </w:rPr>
        <w:t xml:space="preserve">Hane halkı finansal varlıklarının </w:t>
      </w:r>
      <w:r w:rsidR="000F1651" w:rsidRPr="006F1D76">
        <w:rPr>
          <w:rFonts w:ascii="ING Me" w:eastAsia="Times New Roman" w:hAnsi="ING Me" w:cs="Arial"/>
          <w:color w:val="222222"/>
        </w:rPr>
        <w:t>dağılımına</w:t>
      </w:r>
      <w:r w:rsidRPr="006F1D76">
        <w:rPr>
          <w:rFonts w:ascii="ING Me" w:eastAsia="Times New Roman" w:hAnsi="ING Me" w:cs="Arial"/>
          <w:color w:val="222222"/>
        </w:rPr>
        <w:t xml:space="preserve"> göre; ilk çeyrekte yüzde 74’e geriledikten sonra ikinci çeyrekte hızla toparlanarak yeniden eski seviyelerine yaklaşık yüzde 82 ile erişen sistem içi finansal ürünlerin payı</w:t>
      </w:r>
      <w:r w:rsidR="00A34DD7" w:rsidRPr="006F1D76">
        <w:rPr>
          <w:rFonts w:ascii="ING Me" w:eastAsia="Times New Roman" w:hAnsi="ING Me" w:cs="Arial"/>
          <w:color w:val="222222"/>
        </w:rPr>
        <w:t>,</w:t>
      </w:r>
      <w:r w:rsidRPr="006F1D76">
        <w:rPr>
          <w:rFonts w:ascii="ING Me" w:eastAsia="Times New Roman" w:hAnsi="ING Me" w:cs="Arial"/>
          <w:color w:val="222222"/>
        </w:rPr>
        <w:t xml:space="preserve"> üçüncü çeyrekte bir kez daha azaldı ve yüzde 76 oldu. Bu durum, salgın koşullarında güven endişesinin belirgin olduğunu, belirsizlik algılarının sistem içi ve dışı finansal ürün tercihlerini şekillendirdiğini ortaya koy</w:t>
      </w:r>
      <w:r w:rsidR="00A34DD7" w:rsidRPr="006F1D76">
        <w:rPr>
          <w:rFonts w:ascii="ING Me" w:eastAsia="Times New Roman" w:hAnsi="ING Me" w:cs="Arial"/>
          <w:color w:val="222222"/>
        </w:rPr>
        <w:t>du</w:t>
      </w:r>
      <w:r w:rsidRPr="006F1D76">
        <w:rPr>
          <w:rFonts w:ascii="ING Me" w:eastAsia="Times New Roman" w:hAnsi="ING Me" w:cs="Arial"/>
          <w:color w:val="222222"/>
        </w:rPr>
        <w:t xml:space="preserve">. Tasarruf sahiplerinin tercih ettiği tasarruf araçlarında ilk sırayı, yaklaşık yüzde 25 ile yastıkaltı altın ve nakit aldı. Bunu yüzde 23 ile bireysel emeklilik fonları, yüzde 18 ile sistem içi altın ve yüzde 12 ile TL vadeli hesap izledi. Dönemin koşullarına ve tercihlere göre sahiplik oranı değişen diğer tasarruf araçlarına kıyasla, </w:t>
      </w:r>
      <w:r w:rsidR="00A34DD7" w:rsidRPr="006F1D76">
        <w:rPr>
          <w:rFonts w:ascii="ING Me" w:eastAsia="Times New Roman" w:hAnsi="ING Me" w:cs="Arial"/>
          <w:color w:val="222222"/>
        </w:rPr>
        <w:t>‘</w:t>
      </w:r>
      <w:r w:rsidRPr="006F1D76">
        <w:rPr>
          <w:rFonts w:ascii="ING Me" w:eastAsia="Times New Roman" w:hAnsi="ING Me" w:cs="Arial"/>
          <w:color w:val="222222"/>
        </w:rPr>
        <w:t>sistem içi altın</w:t>
      </w:r>
      <w:r w:rsidR="00A34DD7" w:rsidRPr="006F1D76">
        <w:rPr>
          <w:rFonts w:ascii="ING Me" w:eastAsia="Times New Roman" w:hAnsi="ING Me" w:cs="Arial"/>
          <w:color w:val="222222"/>
        </w:rPr>
        <w:t>’,</w:t>
      </w:r>
      <w:r w:rsidRPr="006F1D76">
        <w:rPr>
          <w:rFonts w:ascii="ING Me" w:eastAsia="Times New Roman" w:hAnsi="ING Me" w:cs="Arial"/>
          <w:color w:val="222222"/>
        </w:rPr>
        <w:t xml:space="preserve"> yani bankalardaki altın hesapları bu çeyrekte yüzde 18 ile tarihinin en yüksek sahiplik oranına ulaştı.  Bu artışta, Türkiye'de aşina olunan ve güvenilir bir tasarruf aracı olarak kabul edilen altının</w:t>
      </w:r>
      <w:r w:rsidR="00A34DD7" w:rsidRPr="006F1D76">
        <w:rPr>
          <w:rFonts w:ascii="ING Me" w:eastAsia="Times New Roman" w:hAnsi="ING Me" w:cs="Arial"/>
          <w:color w:val="222222"/>
        </w:rPr>
        <w:t>,</w:t>
      </w:r>
      <w:r w:rsidRPr="006F1D76">
        <w:rPr>
          <w:rFonts w:ascii="ING Me" w:eastAsia="Times New Roman" w:hAnsi="ING Me" w:cs="Arial"/>
          <w:color w:val="222222"/>
        </w:rPr>
        <w:t xml:space="preserve"> sistem içinde altın hesabı olarak daha yoğun tercih edilmesi etkili oldu. Kur ve enflasyonda artış beklentilerinden hareketle tasarruflarını koruma güdüsüyle hareket eden hane halkı, sistem içi altın varlıklarını üçüncü çeyrekte artırdı.</w:t>
      </w:r>
    </w:p>
    <w:p w14:paraId="707FC1CF" w14:textId="77777777" w:rsidR="009F53D3" w:rsidRPr="006F1D76" w:rsidRDefault="009F53D3" w:rsidP="009F53D3">
      <w:pPr>
        <w:shd w:val="clear" w:color="auto" w:fill="FFFFFF"/>
        <w:spacing w:after="0" w:line="293" w:lineRule="atLeast"/>
        <w:jc w:val="both"/>
        <w:rPr>
          <w:rFonts w:ascii="ING Me" w:eastAsia="Times New Roman" w:hAnsi="ING Me" w:cs="Arial"/>
          <w:color w:val="222222"/>
        </w:rPr>
      </w:pPr>
    </w:p>
    <w:p w14:paraId="432FA494" w14:textId="14CF51BF" w:rsidR="009F53D3" w:rsidRPr="006F1D76" w:rsidRDefault="009F53D3" w:rsidP="009F53D3">
      <w:pPr>
        <w:shd w:val="clear" w:color="auto" w:fill="FFFFFF"/>
        <w:spacing w:after="0" w:line="293" w:lineRule="atLeast"/>
        <w:jc w:val="both"/>
        <w:rPr>
          <w:rFonts w:ascii="Arial" w:eastAsia="Times New Roman" w:hAnsi="Arial" w:cs="Arial"/>
          <w:color w:val="222222"/>
        </w:rPr>
      </w:pPr>
      <w:r w:rsidRPr="006F1D76">
        <w:rPr>
          <w:rFonts w:ascii="ING Me" w:eastAsia="Times New Roman" w:hAnsi="ING Me" w:cs="Arial"/>
          <w:b/>
          <w:bCs/>
          <w:color w:val="222222"/>
        </w:rPr>
        <w:t>Ozan Kırmızı: “Ekonomik dönüşümün bir parçası olarak tasarrufu destekliyoruz”</w:t>
      </w:r>
    </w:p>
    <w:p w14:paraId="24D21B8D" w14:textId="77777777" w:rsidR="009F53D3" w:rsidRPr="006F1D76" w:rsidRDefault="009F53D3" w:rsidP="009F53D3">
      <w:pPr>
        <w:shd w:val="clear" w:color="auto" w:fill="FFFFFF"/>
        <w:spacing w:after="0" w:line="293" w:lineRule="atLeast"/>
        <w:jc w:val="both"/>
        <w:rPr>
          <w:rFonts w:ascii="Arial" w:eastAsia="Times New Roman" w:hAnsi="Arial" w:cs="Arial"/>
          <w:color w:val="222222"/>
        </w:rPr>
      </w:pPr>
      <w:r w:rsidRPr="006F1D76">
        <w:rPr>
          <w:rFonts w:ascii="ING Me" w:eastAsia="Times New Roman" w:hAnsi="ING Me" w:cs="Arial"/>
          <w:color w:val="222222"/>
        </w:rPr>
        <w:t> </w:t>
      </w:r>
    </w:p>
    <w:p w14:paraId="73B96B96" w14:textId="32A746C7" w:rsidR="009F53D3" w:rsidRPr="009F53D3" w:rsidRDefault="009F53D3" w:rsidP="009F53D3">
      <w:pPr>
        <w:shd w:val="clear" w:color="auto" w:fill="FFFFFF"/>
        <w:spacing w:after="0" w:line="293" w:lineRule="atLeast"/>
        <w:jc w:val="both"/>
        <w:rPr>
          <w:rFonts w:ascii="Arial" w:eastAsia="Times New Roman" w:hAnsi="Arial" w:cs="Arial"/>
          <w:color w:val="222222"/>
        </w:rPr>
      </w:pPr>
      <w:r w:rsidRPr="006F1D76">
        <w:rPr>
          <w:rFonts w:ascii="ING Me" w:eastAsia="Times New Roman" w:hAnsi="ING Me" w:cs="Arial"/>
          <w:color w:val="222222"/>
        </w:rPr>
        <w:t>TTEA 2020 yılı üçüncü çeyrek sonuçlarını değerlendiren </w:t>
      </w:r>
      <w:r w:rsidRPr="006F1D76">
        <w:rPr>
          <w:rFonts w:ascii="ING Me" w:eastAsia="Times New Roman" w:hAnsi="ING Me" w:cs="Arial"/>
          <w:b/>
          <w:bCs/>
          <w:color w:val="222222"/>
        </w:rPr>
        <w:t>ING Türkiye Bireysel Bankacılık Genel Müdür Yardımcısı Ozan Kırmızı</w:t>
      </w:r>
      <w:r w:rsidRPr="006F1D76">
        <w:rPr>
          <w:rFonts w:ascii="ING Me" w:eastAsia="Times New Roman" w:hAnsi="ING Me" w:cs="Arial"/>
          <w:color w:val="222222"/>
        </w:rPr>
        <w:t>, tasarruf sahipliği oranındaki artışa dikkat çekerek, “Pandemi nedeniyle dünya zor bir dönemden geçiyor ve bu durum sağlığın yanı sıra ekonomik belirsizlikleri de beraberinde getiriyor. Tasarruf sahipliği oranının artması ve daha fazla bireyin tasarruf yapmayı düşünmesi de bunun önemli bir göstergesi. Biz de ülkemizdeki ekonomik dönüşümün bir parçası olarak tasarrufun desteklenmesi gerektiğine inanıyor, müşterilerimize tasarruf ederken kazanç sağlayabilecekleri ürün, hizmet ve yatırım araçları sunmaya odaklanıyoruz. Bu anlamda son çeyrekte yükselişe geçen trendleri yakından takip ediyor ve gün</w:t>
      </w:r>
      <w:r w:rsidR="000F1651" w:rsidRPr="006F1D76">
        <w:rPr>
          <w:rFonts w:ascii="ING Me" w:eastAsia="Times New Roman" w:hAnsi="ING Me" w:cs="Arial"/>
          <w:color w:val="222222"/>
        </w:rPr>
        <w:t>lük</w:t>
      </w:r>
      <w:r w:rsidRPr="006F1D76">
        <w:rPr>
          <w:rFonts w:ascii="ING Me" w:eastAsia="Times New Roman" w:hAnsi="ING Me" w:cs="Arial"/>
          <w:color w:val="222222"/>
        </w:rPr>
        <w:t xml:space="preserve"> </w:t>
      </w:r>
      <w:r w:rsidR="000F1651" w:rsidRPr="006F1D76">
        <w:rPr>
          <w:rFonts w:ascii="ING Me" w:eastAsia="Times New Roman" w:hAnsi="ING Me" w:cs="Arial"/>
          <w:color w:val="222222"/>
        </w:rPr>
        <w:t>faiz kazancı sunan Turuncu</w:t>
      </w:r>
      <w:r w:rsidRPr="006F1D76">
        <w:rPr>
          <w:rFonts w:ascii="ING Me" w:eastAsia="Times New Roman" w:hAnsi="ING Me" w:cs="Arial"/>
          <w:color w:val="222222"/>
        </w:rPr>
        <w:t xml:space="preserve"> Hesap gibi ürünlerimizle müşterilerimizin tasarruf etmelerine katkıda bulunuyoruz ” dedi.</w:t>
      </w:r>
    </w:p>
    <w:p w14:paraId="132E980C" w14:textId="77777777" w:rsidR="008820A6" w:rsidRDefault="008820A6" w:rsidP="00167252">
      <w:pPr>
        <w:shd w:val="clear" w:color="auto" w:fill="FFFFFF"/>
        <w:spacing w:after="0" w:line="293" w:lineRule="atLeast"/>
        <w:jc w:val="both"/>
        <w:rPr>
          <w:rFonts w:ascii="ING Me" w:eastAsia="Times New Roman" w:hAnsi="ING Me" w:cs="Arial"/>
          <w:color w:val="222222"/>
        </w:rPr>
      </w:pPr>
    </w:p>
    <w:p w14:paraId="61199E48" w14:textId="4729DDC3" w:rsidR="006A2DCC" w:rsidRPr="003F1EC5" w:rsidRDefault="006A2DCC" w:rsidP="00167252">
      <w:pPr>
        <w:shd w:val="clear" w:color="auto" w:fill="FFFFFF"/>
        <w:spacing w:after="0" w:line="293" w:lineRule="atLeast"/>
        <w:jc w:val="both"/>
        <w:rPr>
          <w:rFonts w:ascii="ING Me" w:hAnsi="ING Me"/>
          <w:sz w:val="20"/>
          <w:szCs w:val="20"/>
        </w:rPr>
      </w:pPr>
      <w:r w:rsidRPr="0088048E">
        <w:rPr>
          <w:rStyle w:val="il"/>
          <w:rFonts w:ascii="ING Me" w:hAnsi="ING Me" w:cs="Arial"/>
          <w:b/>
          <w:bCs/>
          <w:i/>
          <w:iCs/>
          <w:sz w:val="18"/>
          <w:szCs w:val="18"/>
          <w:u w:val="single"/>
        </w:rPr>
        <w:t>Araştırma Künyesi</w:t>
      </w:r>
      <w:r w:rsidRPr="0088048E">
        <w:rPr>
          <w:rStyle w:val="il"/>
          <w:rFonts w:ascii="ING Me" w:hAnsi="ING Me" w:cs="Arial"/>
          <w:i/>
          <w:iCs/>
          <w:sz w:val="18"/>
          <w:szCs w:val="18"/>
          <w:u w:val="single"/>
        </w:rPr>
        <w:t>:</w:t>
      </w:r>
      <w:r w:rsidR="001C2DB5" w:rsidRPr="0088048E">
        <w:rPr>
          <w:rStyle w:val="il"/>
          <w:rFonts w:ascii="ING Me" w:hAnsi="ING Me" w:cs="Arial"/>
          <w:b/>
          <w:bCs/>
          <w:i/>
          <w:iCs/>
          <w:sz w:val="18"/>
          <w:szCs w:val="18"/>
        </w:rPr>
        <w:t xml:space="preserve"> </w:t>
      </w:r>
      <w:r w:rsidR="0016413B" w:rsidRPr="0088048E">
        <w:rPr>
          <w:rFonts w:ascii="ING Me" w:hAnsi="ING Me" w:cs="Arial"/>
          <w:i/>
          <w:iCs/>
          <w:sz w:val="18"/>
          <w:szCs w:val="18"/>
        </w:rPr>
        <w:t xml:space="preserve">Tasarruf Eğilimleri Araştırması; 2020 </w:t>
      </w:r>
      <w:r w:rsidR="0002759C">
        <w:rPr>
          <w:rFonts w:ascii="ING Me" w:hAnsi="ING Me" w:cs="Arial"/>
          <w:i/>
          <w:iCs/>
          <w:sz w:val="18"/>
          <w:szCs w:val="18"/>
        </w:rPr>
        <w:t>üçüncü</w:t>
      </w:r>
      <w:r w:rsidR="0016413B" w:rsidRPr="0088048E">
        <w:rPr>
          <w:rFonts w:ascii="ING Me" w:hAnsi="ING Me" w:cs="Arial"/>
          <w:i/>
          <w:iCs/>
          <w:sz w:val="18"/>
          <w:szCs w:val="18"/>
        </w:rPr>
        <w:t xml:space="preserve"> çeyrek sonuçları, NUTS2 bölgelerinde seçilen 26 ilde, 2400 kişi ile bilgisayar destekli telefon görüşmesi yöntemi (CATI) ile yap</w:t>
      </w:r>
      <w:r w:rsidR="00463BF5" w:rsidRPr="0088048E">
        <w:rPr>
          <w:rFonts w:ascii="ING Me" w:hAnsi="ING Me" w:cs="Arial"/>
          <w:i/>
          <w:iCs/>
          <w:sz w:val="18"/>
          <w:szCs w:val="18"/>
        </w:rPr>
        <w:t>ı</w:t>
      </w:r>
      <w:r w:rsidR="0016413B" w:rsidRPr="0088048E">
        <w:rPr>
          <w:rFonts w:ascii="ING Me" w:hAnsi="ING Me" w:cs="Arial"/>
          <w:i/>
          <w:iCs/>
          <w:sz w:val="18"/>
          <w:szCs w:val="18"/>
        </w:rPr>
        <w:t>lan anketin sonuçlarıdır. Türkiye’deki 18 yaş üzeri bireyleri temsil etmek üzere; yaş, cinsiyet, çalışma durumu ve meslek kontrol kotası olarak uygulanmıştır.</w:t>
      </w:r>
      <w:r w:rsidR="0016413B" w:rsidRPr="003F1EC5">
        <w:rPr>
          <w:rFonts w:ascii="ING Me" w:hAnsi="ING Me" w:cs="Arial"/>
          <w:i/>
          <w:iCs/>
          <w:sz w:val="18"/>
          <w:szCs w:val="18"/>
        </w:rPr>
        <w:t xml:space="preserve"> </w:t>
      </w:r>
    </w:p>
    <w:p w14:paraId="2722F7F9" w14:textId="77777777" w:rsidR="003F1EC5" w:rsidRDefault="003F1EC5" w:rsidP="00167252">
      <w:pPr>
        <w:shd w:val="clear" w:color="auto" w:fill="FFFFFF"/>
        <w:spacing w:after="0" w:line="293" w:lineRule="atLeast"/>
        <w:jc w:val="both"/>
        <w:rPr>
          <w:rStyle w:val="m-4833970025875954642gmail-il"/>
          <w:rFonts w:ascii="ING Me" w:hAnsi="ING Me"/>
          <w:b/>
          <w:bCs/>
          <w:i/>
          <w:iCs/>
          <w:sz w:val="18"/>
          <w:szCs w:val="18"/>
          <w:u w:val="single"/>
        </w:rPr>
      </w:pPr>
    </w:p>
    <w:p w14:paraId="565FF7D0" w14:textId="77777777" w:rsidR="00167252" w:rsidRPr="00C41F37" w:rsidRDefault="00167252" w:rsidP="00167252">
      <w:pPr>
        <w:shd w:val="clear" w:color="auto" w:fill="FFFFFF"/>
        <w:spacing w:after="0" w:line="293" w:lineRule="atLeast"/>
        <w:jc w:val="both"/>
        <w:rPr>
          <w:rFonts w:ascii="ING Me" w:eastAsia="Times New Roman" w:hAnsi="ING Me" w:cs="Arial"/>
          <w:sz w:val="24"/>
          <w:szCs w:val="24"/>
          <w:lang w:eastAsia="tr-TR"/>
        </w:rPr>
      </w:pPr>
      <w:r w:rsidRPr="00C41F37">
        <w:rPr>
          <w:rStyle w:val="m-4833970025875954642gmail-il"/>
          <w:rFonts w:ascii="ING Me" w:hAnsi="ING Me"/>
          <w:b/>
          <w:bCs/>
          <w:i/>
          <w:iCs/>
          <w:sz w:val="18"/>
          <w:szCs w:val="18"/>
          <w:u w:val="single"/>
        </w:rPr>
        <w:t>ING</w:t>
      </w:r>
      <w:r w:rsidRPr="00C41F37">
        <w:rPr>
          <w:rFonts w:ascii="ING Me" w:hAnsi="ING Me" w:cs="Arial"/>
          <w:b/>
          <w:bCs/>
          <w:i/>
          <w:iCs/>
          <w:sz w:val="18"/>
          <w:szCs w:val="18"/>
          <w:u w:val="single"/>
        </w:rPr>
        <w:t> Türkiye </w:t>
      </w:r>
      <w:r w:rsidRPr="00C41F37">
        <w:rPr>
          <w:rStyle w:val="il"/>
          <w:rFonts w:ascii="ING Me" w:hAnsi="ING Me" w:cs="Arial"/>
          <w:b/>
          <w:bCs/>
          <w:i/>
          <w:iCs/>
          <w:sz w:val="18"/>
          <w:szCs w:val="18"/>
          <w:u w:val="single"/>
        </w:rPr>
        <w:t>Hakkında</w:t>
      </w:r>
      <w:r w:rsidRPr="00C41F37">
        <w:rPr>
          <w:rFonts w:ascii="ING Me" w:hAnsi="ING Me" w:cs="Arial"/>
          <w:b/>
          <w:bCs/>
          <w:i/>
          <w:iCs/>
          <w:sz w:val="18"/>
          <w:szCs w:val="18"/>
          <w:u w:val="single"/>
        </w:rPr>
        <w:t>:</w:t>
      </w:r>
    </w:p>
    <w:p w14:paraId="3AB2BAEF" w14:textId="77777777" w:rsidR="00167252" w:rsidRPr="00C41F37" w:rsidRDefault="00167252" w:rsidP="00167252">
      <w:pPr>
        <w:shd w:val="clear" w:color="auto" w:fill="FFFFFF"/>
        <w:spacing w:after="0" w:line="293" w:lineRule="atLeast"/>
        <w:jc w:val="both"/>
        <w:rPr>
          <w:rFonts w:ascii="ING Me" w:eastAsia="Times New Roman" w:hAnsi="ING Me" w:cs="Arial"/>
          <w:sz w:val="24"/>
          <w:szCs w:val="24"/>
          <w:lang w:eastAsia="tr-TR"/>
        </w:rPr>
      </w:pPr>
      <w:r w:rsidRPr="00C41F37">
        <w:rPr>
          <w:rFonts w:ascii="ING Me" w:hAnsi="ING Me" w:cs="Arial"/>
          <w:i/>
          <w:iCs/>
          <w:sz w:val="18"/>
          <w:szCs w:val="18"/>
        </w:rPr>
        <w:t xml:space="preserve">Faaliyetlerini ING Grubu’nun, insanların özel ve iş hayatlarında bir adım önde olmalarını mümkün kılma amacıyla gerçekleştiren ING Türkiye, bankacılık sektörü ve özellikle dijital bankacılıkta öncü adımlar atıyor. ING Türkiye, “Eski Köye Yeni Âdet” sloganıyla inovasyona dayalı bankacılığı ön plana çıkarıyor. Lider tasarruf bankası olma hedefini </w:t>
      </w:r>
      <w:r w:rsidRPr="00C41F37">
        <w:rPr>
          <w:rFonts w:ascii="ING Me" w:hAnsi="ING Me" w:cs="Arial"/>
          <w:i/>
          <w:iCs/>
          <w:sz w:val="18"/>
          <w:szCs w:val="18"/>
        </w:rPr>
        <w:lastRenderedPageBreak/>
        <w:t>destekleyecek şekilde toplumsal yatırımlara da imza atan ING Türkiye, bu anlayışla Turuncu Damla sosyal sorumluluk programını ve Türkiye Tasarruf Eğilimleri araştırmasını yürütüyor. Cinsiyet eşitliğini sağlamaya yönelik çalışmalar da gerçekleştiren kurum, bu kapsamda öncü insan kaynakları uygulamalarına imza atarken, kurum dışında da ilham veren kadınları destekliyor. </w:t>
      </w:r>
      <w:r w:rsidRPr="00C41F37">
        <w:rPr>
          <w:rStyle w:val="m-4833970025875954642gmail-il"/>
          <w:rFonts w:ascii="ING Me" w:hAnsi="ING Me"/>
          <w:i/>
          <w:iCs/>
        </w:rPr>
        <w:t>ING</w:t>
      </w:r>
      <w:r w:rsidRPr="00C41F37">
        <w:rPr>
          <w:rFonts w:ascii="ING Me" w:hAnsi="ING Me" w:cs="Arial"/>
          <w:i/>
          <w:iCs/>
          <w:sz w:val="18"/>
          <w:szCs w:val="18"/>
        </w:rPr>
        <w:t> Türkiye, Global Compact Türkiye Sürdürülebilir Bankacılık ve Finans Çalışma Grubu, TÜSİAD STEM (Science, Technology, Engineering, Mathematics/Fen, Teknoloji, Mühendislik, Matematik) Çalışma Grubu ve Global Compact Türkiye Kadının Güçlenmesi Çalışma Grubu üyesi ve aynı zamanda Birleşmiş Milletler Kadının Güçlenmesi Prensipleri - WEPs imzacısı.</w:t>
      </w:r>
    </w:p>
    <w:p w14:paraId="75BA2A87" w14:textId="77777777" w:rsidR="00167252" w:rsidRPr="00C41F37" w:rsidRDefault="00167252" w:rsidP="00167252">
      <w:pPr>
        <w:shd w:val="clear" w:color="auto" w:fill="FFFFFF"/>
        <w:spacing w:after="0" w:line="293" w:lineRule="atLeast"/>
        <w:jc w:val="both"/>
        <w:rPr>
          <w:rFonts w:ascii="ING Me" w:eastAsia="Times New Roman" w:hAnsi="ING Me" w:cs="Arial"/>
          <w:sz w:val="24"/>
          <w:szCs w:val="24"/>
          <w:lang w:eastAsia="tr-TR"/>
        </w:rPr>
      </w:pPr>
    </w:p>
    <w:p w14:paraId="01FE76BB" w14:textId="77777777" w:rsidR="00167252" w:rsidRPr="00C41F37" w:rsidRDefault="00167252" w:rsidP="00167252">
      <w:pPr>
        <w:shd w:val="clear" w:color="auto" w:fill="FFFFFF"/>
        <w:spacing w:after="0" w:line="293" w:lineRule="atLeast"/>
        <w:jc w:val="both"/>
        <w:rPr>
          <w:rFonts w:ascii="ING Me" w:eastAsia="Times New Roman" w:hAnsi="ING Me" w:cs="Arial"/>
          <w:sz w:val="24"/>
          <w:szCs w:val="24"/>
          <w:lang w:eastAsia="tr-TR"/>
        </w:rPr>
      </w:pPr>
      <w:r w:rsidRPr="00C41F37">
        <w:rPr>
          <w:rFonts w:ascii="ING Me" w:hAnsi="ING Me" w:cs="Arial"/>
          <w:b/>
          <w:bCs/>
          <w:i/>
          <w:iCs/>
          <w:sz w:val="18"/>
          <w:szCs w:val="18"/>
          <w:u w:val="single"/>
        </w:rPr>
        <w:t>ING Grubu </w:t>
      </w:r>
      <w:r w:rsidRPr="00C41F37">
        <w:rPr>
          <w:rStyle w:val="il"/>
          <w:rFonts w:ascii="ING Me" w:hAnsi="ING Me" w:cs="Arial"/>
          <w:b/>
          <w:bCs/>
          <w:i/>
          <w:iCs/>
          <w:sz w:val="18"/>
          <w:szCs w:val="18"/>
          <w:u w:val="single"/>
        </w:rPr>
        <w:t>Hakkında</w:t>
      </w:r>
      <w:r w:rsidRPr="00C41F37">
        <w:rPr>
          <w:rFonts w:ascii="ING Me" w:hAnsi="ING Me" w:cs="Arial"/>
          <w:b/>
          <w:bCs/>
          <w:i/>
          <w:iCs/>
          <w:sz w:val="18"/>
          <w:szCs w:val="18"/>
          <w:u w:val="single"/>
        </w:rPr>
        <w:t>:</w:t>
      </w:r>
    </w:p>
    <w:p w14:paraId="1A1D96D0" w14:textId="77777777" w:rsidR="00167252" w:rsidRPr="00C41F37" w:rsidRDefault="00167252" w:rsidP="00167252">
      <w:pPr>
        <w:shd w:val="clear" w:color="auto" w:fill="FFFFFF"/>
        <w:spacing w:after="0" w:line="293" w:lineRule="atLeast"/>
        <w:jc w:val="both"/>
        <w:rPr>
          <w:rFonts w:ascii="ING Me" w:eastAsia="Times New Roman" w:hAnsi="ING Me" w:cs="Arial"/>
          <w:sz w:val="24"/>
          <w:szCs w:val="24"/>
          <w:lang w:eastAsia="tr-TR"/>
        </w:rPr>
      </w:pPr>
      <w:r w:rsidRPr="00C41F37">
        <w:rPr>
          <w:rFonts w:ascii="ING Me" w:hAnsi="ING Me"/>
          <w:i/>
          <w:iCs/>
          <w:sz w:val="18"/>
          <w:szCs w:val="18"/>
        </w:rPr>
        <w:t>Güçlü bir Avrupa tabanına sahip dünya çapında bir finansal hizmetler şirketi olan ING Grubu, bankacılık faaliyetlerini ING Bank AŞ şirketi üzerinden yürütüyor. İnsanları güçlendirerek özel ve iş hayatlarında bir adım önde kalmalarını sağlamayı amaçlayan ING Grubu, 40’tan fazla ülkede 53 bin çalışanıyla bireysel ve kurumsal bankacılık hizmetleri sunuyor. ING Grubu hisseleri Amsterdam (INGA AS, </w:t>
      </w:r>
      <w:hyperlink r:id="rId9" w:tgtFrame="_blank" w:history="1">
        <w:r w:rsidRPr="00C41F37">
          <w:rPr>
            <w:rStyle w:val="Kpr"/>
            <w:rFonts w:ascii="ING Me" w:hAnsi="ING Me"/>
            <w:i/>
            <w:iCs/>
            <w:sz w:val="18"/>
            <w:szCs w:val="18"/>
          </w:rPr>
          <w:t>INGA.AS</w:t>
        </w:r>
      </w:hyperlink>
      <w:r w:rsidRPr="00C41F37">
        <w:rPr>
          <w:rFonts w:ascii="ING Me" w:hAnsi="ING Me"/>
          <w:i/>
          <w:iCs/>
          <w:sz w:val="18"/>
          <w:szCs w:val="18"/>
        </w:rPr>
        <w:t>), Brüksel ve New York Menkul Kıymetler Borsası’nda (ADRs: ING US, ING.N) işlem görüyor. Sürdürülebilirliği stratejisinin ayrılmaz bir parçası olarak kabul eden ING, Sustainalytics’in banka endüstrisi sıralamasında “lider” konumunda yer alıyor. Ayrıca ING grup hisseleri STOXX, Morningstar ve FTSE Russell gibi önemli sürdürülebilirlik endekslerinde yer alıyor.</w:t>
      </w:r>
    </w:p>
    <w:p w14:paraId="17A62F54" w14:textId="77777777" w:rsidR="00167252" w:rsidRDefault="00167252" w:rsidP="00167252">
      <w:pPr>
        <w:shd w:val="clear" w:color="auto" w:fill="FFFFFF"/>
        <w:spacing w:after="0" w:line="293" w:lineRule="atLeast"/>
        <w:jc w:val="both"/>
        <w:rPr>
          <w:rFonts w:ascii="ING Me" w:hAnsi="ING Me"/>
          <w:b/>
          <w:bCs/>
          <w:i/>
          <w:iCs/>
          <w:sz w:val="18"/>
          <w:szCs w:val="18"/>
        </w:rPr>
      </w:pPr>
    </w:p>
    <w:p w14:paraId="41FCBB31" w14:textId="77777777" w:rsidR="00167252" w:rsidRPr="00C41F37" w:rsidRDefault="00167252" w:rsidP="00167252">
      <w:pPr>
        <w:shd w:val="clear" w:color="auto" w:fill="FFFFFF"/>
        <w:spacing w:after="0" w:line="293" w:lineRule="atLeast"/>
        <w:jc w:val="both"/>
        <w:rPr>
          <w:rStyle w:val="Kpr"/>
          <w:rFonts w:ascii="ING Me" w:hAnsi="ING Me"/>
          <w:bCs/>
          <w:i/>
          <w:iCs/>
          <w:sz w:val="18"/>
          <w:szCs w:val="18"/>
        </w:rPr>
      </w:pPr>
      <w:r w:rsidRPr="00C41F37">
        <w:rPr>
          <w:rFonts w:ascii="ING Me" w:hAnsi="ING Me"/>
          <w:b/>
          <w:bCs/>
          <w:i/>
          <w:iCs/>
          <w:sz w:val="18"/>
          <w:szCs w:val="18"/>
        </w:rPr>
        <w:t xml:space="preserve">Bilgi için: </w:t>
      </w:r>
      <w:r w:rsidRPr="00C41F37">
        <w:rPr>
          <w:rFonts w:ascii="ING Me" w:hAnsi="ING Me"/>
          <w:bCs/>
          <w:i/>
          <w:iCs/>
          <w:sz w:val="18"/>
          <w:szCs w:val="18"/>
        </w:rPr>
        <w:t xml:space="preserve">İnsula İletişim / Rukiye Tekdemir / 0549 667 1004 / </w:t>
      </w:r>
      <w:hyperlink r:id="rId10" w:history="1">
        <w:r w:rsidRPr="00C41F37">
          <w:rPr>
            <w:rStyle w:val="Kpr"/>
            <w:rFonts w:ascii="ING Me" w:hAnsi="ING Me"/>
            <w:i/>
            <w:iCs/>
            <w:sz w:val="18"/>
            <w:szCs w:val="18"/>
          </w:rPr>
          <w:t>rukiyetekdemir@insulailetisim.com</w:t>
        </w:r>
      </w:hyperlink>
    </w:p>
    <w:p w14:paraId="1E62F44D" w14:textId="055EF67E" w:rsidR="00D55FD4" w:rsidRPr="003F1EC5" w:rsidRDefault="00D55FD4" w:rsidP="00167252">
      <w:pPr>
        <w:shd w:val="clear" w:color="auto" w:fill="FFFFFF"/>
        <w:spacing w:after="0" w:line="293" w:lineRule="atLeast"/>
        <w:jc w:val="both"/>
        <w:rPr>
          <w:rFonts w:ascii="ING Me" w:hAnsi="ING Me"/>
          <w:bCs/>
          <w:iCs/>
          <w:color w:val="404040" w:themeColor="text1" w:themeTint="BF"/>
          <w:sz w:val="18"/>
          <w:szCs w:val="18"/>
        </w:rPr>
      </w:pPr>
    </w:p>
    <w:sectPr w:rsidR="00D55FD4" w:rsidRPr="003F1EC5" w:rsidSect="008175C4">
      <w:pgSz w:w="11906" w:h="16838"/>
      <w:pgMar w:top="1560"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B56EC" w14:textId="77777777" w:rsidR="008651B7" w:rsidRDefault="008651B7" w:rsidP="00835F0D">
      <w:pPr>
        <w:spacing w:after="0" w:line="240" w:lineRule="auto"/>
      </w:pPr>
      <w:r>
        <w:separator/>
      </w:r>
    </w:p>
  </w:endnote>
  <w:endnote w:type="continuationSeparator" w:id="0">
    <w:p w14:paraId="76AC5F30" w14:textId="77777777" w:rsidR="008651B7" w:rsidRDefault="008651B7" w:rsidP="0083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G Me">
    <w:altName w:val="Arial Nova Cond"/>
    <w:panose1 w:val="02000506040000020004"/>
    <w:charset w:val="00"/>
    <w:family w:val="modern"/>
    <w:notTrueType/>
    <w:pitch w:val="variable"/>
    <w:sig w:usb0="A10002AF" w:usb1="5000607A"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BD1DA" w14:textId="77777777" w:rsidR="008651B7" w:rsidRDefault="008651B7" w:rsidP="00835F0D">
      <w:pPr>
        <w:spacing w:after="0" w:line="240" w:lineRule="auto"/>
      </w:pPr>
      <w:r>
        <w:separator/>
      </w:r>
    </w:p>
  </w:footnote>
  <w:footnote w:type="continuationSeparator" w:id="0">
    <w:p w14:paraId="6E91ADC5" w14:textId="77777777" w:rsidR="008651B7" w:rsidRDefault="008651B7" w:rsidP="00835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1A2E"/>
    <w:multiLevelType w:val="hybridMultilevel"/>
    <w:tmpl w:val="2662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354E4"/>
    <w:multiLevelType w:val="hybridMultilevel"/>
    <w:tmpl w:val="52F60346"/>
    <w:lvl w:ilvl="0" w:tplc="CBD0932C">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92E9C"/>
    <w:multiLevelType w:val="hybridMultilevel"/>
    <w:tmpl w:val="985C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BB"/>
    <w:rsid w:val="00003931"/>
    <w:rsid w:val="00003AEA"/>
    <w:rsid w:val="000049A4"/>
    <w:rsid w:val="000107AD"/>
    <w:rsid w:val="00015C5D"/>
    <w:rsid w:val="00017F86"/>
    <w:rsid w:val="0002287E"/>
    <w:rsid w:val="0002714C"/>
    <w:rsid w:val="0002759C"/>
    <w:rsid w:val="0003410D"/>
    <w:rsid w:val="0005003B"/>
    <w:rsid w:val="00060C7E"/>
    <w:rsid w:val="00067762"/>
    <w:rsid w:val="00070B2C"/>
    <w:rsid w:val="00071B0C"/>
    <w:rsid w:val="0007581F"/>
    <w:rsid w:val="000764B0"/>
    <w:rsid w:val="000770A8"/>
    <w:rsid w:val="000810B7"/>
    <w:rsid w:val="0008300B"/>
    <w:rsid w:val="00091E3A"/>
    <w:rsid w:val="0009488D"/>
    <w:rsid w:val="000A00B3"/>
    <w:rsid w:val="000A6C14"/>
    <w:rsid w:val="000B28B7"/>
    <w:rsid w:val="000C32E5"/>
    <w:rsid w:val="000D537D"/>
    <w:rsid w:val="000E169D"/>
    <w:rsid w:val="000E7B22"/>
    <w:rsid w:val="000F1651"/>
    <w:rsid w:val="0010259B"/>
    <w:rsid w:val="001128FC"/>
    <w:rsid w:val="001164EC"/>
    <w:rsid w:val="00122168"/>
    <w:rsid w:val="00122629"/>
    <w:rsid w:val="00122D4F"/>
    <w:rsid w:val="00132DCD"/>
    <w:rsid w:val="00151E9A"/>
    <w:rsid w:val="0015305B"/>
    <w:rsid w:val="00157860"/>
    <w:rsid w:val="0016413B"/>
    <w:rsid w:val="0016429A"/>
    <w:rsid w:val="00167252"/>
    <w:rsid w:val="00170254"/>
    <w:rsid w:val="001760E8"/>
    <w:rsid w:val="0018080F"/>
    <w:rsid w:val="0018337B"/>
    <w:rsid w:val="001950CF"/>
    <w:rsid w:val="001B3087"/>
    <w:rsid w:val="001C1731"/>
    <w:rsid w:val="001C2DB5"/>
    <w:rsid w:val="001D3B77"/>
    <w:rsid w:val="001E600C"/>
    <w:rsid w:val="001E705F"/>
    <w:rsid w:val="001E736C"/>
    <w:rsid w:val="001F47C6"/>
    <w:rsid w:val="001F4832"/>
    <w:rsid w:val="001F674B"/>
    <w:rsid w:val="00200506"/>
    <w:rsid w:val="002009D7"/>
    <w:rsid w:val="00201960"/>
    <w:rsid w:val="00213E44"/>
    <w:rsid w:val="0022217E"/>
    <w:rsid w:val="0023507E"/>
    <w:rsid w:val="002370ED"/>
    <w:rsid w:val="00240645"/>
    <w:rsid w:val="00242048"/>
    <w:rsid w:val="002575A7"/>
    <w:rsid w:val="00257FEB"/>
    <w:rsid w:val="00262648"/>
    <w:rsid w:val="002706DC"/>
    <w:rsid w:val="00273C7C"/>
    <w:rsid w:val="002830B3"/>
    <w:rsid w:val="00284A4A"/>
    <w:rsid w:val="00286C2E"/>
    <w:rsid w:val="0028710C"/>
    <w:rsid w:val="002A1143"/>
    <w:rsid w:val="002A15C9"/>
    <w:rsid w:val="002A4461"/>
    <w:rsid w:val="002A7CAE"/>
    <w:rsid w:val="002C521B"/>
    <w:rsid w:val="002D4350"/>
    <w:rsid w:val="002D59F9"/>
    <w:rsid w:val="002F0E17"/>
    <w:rsid w:val="002F7948"/>
    <w:rsid w:val="0031371A"/>
    <w:rsid w:val="00317529"/>
    <w:rsid w:val="003210EB"/>
    <w:rsid w:val="00324BB3"/>
    <w:rsid w:val="003316F4"/>
    <w:rsid w:val="00335AA6"/>
    <w:rsid w:val="00347EC7"/>
    <w:rsid w:val="00351C7B"/>
    <w:rsid w:val="00364A5B"/>
    <w:rsid w:val="00371F68"/>
    <w:rsid w:val="00373385"/>
    <w:rsid w:val="00383D0F"/>
    <w:rsid w:val="00385FCD"/>
    <w:rsid w:val="00396B39"/>
    <w:rsid w:val="003A1241"/>
    <w:rsid w:val="003A3A11"/>
    <w:rsid w:val="003A5571"/>
    <w:rsid w:val="003C12D3"/>
    <w:rsid w:val="003C2EFA"/>
    <w:rsid w:val="003D38C7"/>
    <w:rsid w:val="003D3DB8"/>
    <w:rsid w:val="003E0874"/>
    <w:rsid w:val="003E33C9"/>
    <w:rsid w:val="003E6F3C"/>
    <w:rsid w:val="003F17E0"/>
    <w:rsid w:val="003F1EC5"/>
    <w:rsid w:val="003F3542"/>
    <w:rsid w:val="003F3C36"/>
    <w:rsid w:val="003F684F"/>
    <w:rsid w:val="003F7E9E"/>
    <w:rsid w:val="00403122"/>
    <w:rsid w:val="00404159"/>
    <w:rsid w:val="0040595D"/>
    <w:rsid w:val="00406FA8"/>
    <w:rsid w:val="00412DD9"/>
    <w:rsid w:val="00417524"/>
    <w:rsid w:val="00425DDF"/>
    <w:rsid w:val="004270E5"/>
    <w:rsid w:val="00440643"/>
    <w:rsid w:val="00441E39"/>
    <w:rsid w:val="00441F18"/>
    <w:rsid w:val="004433DF"/>
    <w:rsid w:val="00455265"/>
    <w:rsid w:val="004566D9"/>
    <w:rsid w:val="00463BF5"/>
    <w:rsid w:val="004647F8"/>
    <w:rsid w:val="0047105A"/>
    <w:rsid w:val="0047116D"/>
    <w:rsid w:val="004719BA"/>
    <w:rsid w:val="00481BE7"/>
    <w:rsid w:val="004878CA"/>
    <w:rsid w:val="00492353"/>
    <w:rsid w:val="004A3C82"/>
    <w:rsid w:val="004A7A0C"/>
    <w:rsid w:val="004B7E60"/>
    <w:rsid w:val="004D1A03"/>
    <w:rsid w:val="004D5EED"/>
    <w:rsid w:val="004D7517"/>
    <w:rsid w:val="004E4F48"/>
    <w:rsid w:val="004F1248"/>
    <w:rsid w:val="004F342D"/>
    <w:rsid w:val="004F5596"/>
    <w:rsid w:val="004F6FF8"/>
    <w:rsid w:val="00504A3F"/>
    <w:rsid w:val="00520047"/>
    <w:rsid w:val="005220DE"/>
    <w:rsid w:val="00531D0D"/>
    <w:rsid w:val="005426FF"/>
    <w:rsid w:val="005572E9"/>
    <w:rsid w:val="005748A9"/>
    <w:rsid w:val="0059226F"/>
    <w:rsid w:val="005A1098"/>
    <w:rsid w:val="005A4D46"/>
    <w:rsid w:val="005C4FFD"/>
    <w:rsid w:val="005D5C21"/>
    <w:rsid w:val="005D6359"/>
    <w:rsid w:val="005D6C70"/>
    <w:rsid w:val="005E5476"/>
    <w:rsid w:val="005E6D94"/>
    <w:rsid w:val="005F2CC6"/>
    <w:rsid w:val="005F46F9"/>
    <w:rsid w:val="00600B56"/>
    <w:rsid w:val="00602DFB"/>
    <w:rsid w:val="00614507"/>
    <w:rsid w:val="00617F18"/>
    <w:rsid w:val="00623D37"/>
    <w:rsid w:val="006359A0"/>
    <w:rsid w:val="00645C91"/>
    <w:rsid w:val="00646822"/>
    <w:rsid w:val="006468D0"/>
    <w:rsid w:val="00646A21"/>
    <w:rsid w:val="00655E5E"/>
    <w:rsid w:val="00655F38"/>
    <w:rsid w:val="00664DC2"/>
    <w:rsid w:val="006666E4"/>
    <w:rsid w:val="00667794"/>
    <w:rsid w:val="00667F18"/>
    <w:rsid w:val="00667F20"/>
    <w:rsid w:val="006720BC"/>
    <w:rsid w:val="00674F3A"/>
    <w:rsid w:val="00682845"/>
    <w:rsid w:val="00685F67"/>
    <w:rsid w:val="006863F5"/>
    <w:rsid w:val="00690998"/>
    <w:rsid w:val="00694067"/>
    <w:rsid w:val="006A069B"/>
    <w:rsid w:val="006A0DDC"/>
    <w:rsid w:val="006A1510"/>
    <w:rsid w:val="006A2DCC"/>
    <w:rsid w:val="006A4261"/>
    <w:rsid w:val="006B0DCB"/>
    <w:rsid w:val="006C5DBF"/>
    <w:rsid w:val="006C6C3C"/>
    <w:rsid w:val="006D11B2"/>
    <w:rsid w:val="006E43BB"/>
    <w:rsid w:val="006E7AC9"/>
    <w:rsid w:val="006F02CD"/>
    <w:rsid w:val="006F1D76"/>
    <w:rsid w:val="006F2DDB"/>
    <w:rsid w:val="006F48E9"/>
    <w:rsid w:val="006F5139"/>
    <w:rsid w:val="006F6186"/>
    <w:rsid w:val="006F69CC"/>
    <w:rsid w:val="00701B44"/>
    <w:rsid w:val="00702020"/>
    <w:rsid w:val="00720059"/>
    <w:rsid w:val="00723A4A"/>
    <w:rsid w:val="007255B5"/>
    <w:rsid w:val="00725C97"/>
    <w:rsid w:val="00727AA0"/>
    <w:rsid w:val="00736438"/>
    <w:rsid w:val="007369C5"/>
    <w:rsid w:val="007415AA"/>
    <w:rsid w:val="00745469"/>
    <w:rsid w:val="00750451"/>
    <w:rsid w:val="007531EB"/>
    <w:rsid w:val="0076373F"/>
    <w:rsid w:val="00766C11"/>
    <w:rsid w:val="007701A0"/>
    <w:rsid w:val="0077355E"/>
    <w:rsid w:val="00774972"/>
    <w:rsid w:val="00786FA8"/>
    <w:rsid w:val="0078704C"/>
    <w:rsid w:val="00795BD2"/>
    <w:rsid w:val="00796E9A"/>
    <w:rsid w:val="007A2FD9"/>
    <w:rsid w:val="007B28AB"/>
    <w:rsid w:val="007B59E8"/>
    <w:rsid w:val="007B6D1E"/>
    <w:rsid w:val="007C6CE7"/>
    <w:rsid w:val="007D114D"/>
    <w:rsid w:val="007D17FA"/>
    <w:rsid w:val="007D56D9"/>
    <w:rsid w:val="007D5A7C"/>
    <w:rsid w:val="007D6D40"/>
    <w:rsid w:val="007D7B25"/>
    <w:rsid w:val="007E31CD"/>
    <w:rsid w:val="007E60B4"/>
    <w:rsid w:val="00807022"/>
    <w:rsid w:val="0081312F"/>
    <w:rsid w:val="008175C4"/>
    <w:rsid w:val="00822086"/>
    <w:rsid w:val="0082671E"/>
    <w:rsid w:val="0082690D"/>
    <w:rsid w:val="00826F62"/>
    <w:rsid w:val="00830561"/>
    <w:rsid w:val="00832AD2"/>
    <w:rsid w:val="008349F2"/>
    <w:rsid w:val="00835F0D"/>
    <w:rsid w:val="00837891"/>
    <w:rsid w:val="00842DE0"/>
    <w:rsid w:val="00843AB1"/>
    <w:rsid w:val="00844F63"/>
    <w:rsid w:val="00845C2B"/>
    <w:rsid w:val="008469CD"/>
    <w:rsid w:val="0086474D"/>
    <w:rsid w:val="008651B7"/>
    <w:rsid w:val="0088048E"/>
    <w:rsid w:val="008820A6"/>
    <w:rsid w:val="00897E44"/>
    <w:rsid w:val="008A1268"/>
    <w:rsid w:val="008A55AD"/>
    <w:rsid w:val="008A7E17"/>
    <w:rsid w:val="008C0326"/>
    <w:rsid w:val="008C1658"/>
    <w:rsid w:val="008C1D66"/>
    <w:rsid w:val="008C51EE"/>
    <w:rsid w:val="008D1C50"/>
    <w:rsid w:val="008D4210"/>
    <w:rsid w:val="008E76FF"/>
    <w:rsid w:val="008F0322"/>
    <w:rsid w:val="008F59B1"/>
    <w:rsid w:val="009036F5"/>
    <w:rsid w:val="00920F15"/>
    <w:rsid w:val="00925C05"/>
    <w:rsid w:val="009273BB"/>
    <w:rsid w:val="0093261A"/>
    <w:rsid w:val="009456D0"/>
    <w:rsid w:val="00951C89"/>
    <w:rsid w:val="0095674F"/>
    <w:rsid w:val="009635E6"/>
    <w:rsid w:val="00972888"/>
    <w:rsid w:val="00973C42"/>
    <w:rsid w:val="00976CE7"/>
    <w:rsid w:val="00992437"/>
    <w:rsid w:val="009A2AE8"/>
    <w:rsid w:val="009A5F5F"/>
    <w:rsid w:val="009A7575"/>
    <w:rsid w:val="009B5ADE"/>
    <w:rsid w:val="009C06F2"/>
    <w:rsid w:val="009D1BBC"/>
    <w:rsid w:val="009D296F"/>
    <w:rsid w:val="009D43BC"/>
    <w:rsid w:val="009E05DE"/>
    <w:rsid w:val="009E1415"/>
    <w:rsid w:val="009E7EFC"/>
    <w:rsid w:val="009F53D3"/>
    <w:rsid w:val="00A108D7"/>
    <w:rsid w:val="00A16630"/>
    <w:rsid w:val="00A20351"/>
    <w:rsid w:val="00A22043"/>
    <w:rsid w:val="00A27315"/>
    <w:rsid w:val="00A30EA6"/>
    <w:rsid w:val="00A33350"/>
    <w:rsid w:val="00A34DD7"/>
    <w:rsid w:val="00A379C9"/>
    <w:rsid w:val="00A41EA0"/>
    <w:rsid w:val="00A521B7"/>
    <w:rsid w:val="00A565F7"/>
    <w:rsid w:val="00A57E2D"/>
    <w:rsid w:val="00A63D0C"/>
    <w:rsid w:val="00A70EAE"/>
    <w:rsid w:val="00A92D8E"/>
    <w:rsid w:val="00A94868"/>
    <w:rsid w:val="00A96B2C"/>
    <w:rsid w:val="00A9710E"/>
    <w:rsid w:val="00AA0955"/>
    <w:rsid w:val="00AA1037"/>
    <w:rsid w:val="00AC1132"/>
    <w:rsid w:val="00AC3C54"/>
    <w:rsid w:val="00AC7090"/>
    <w:rsid w:val="00AD39D5"/>
    <w:rsid w:val="00AD6726"/>
    <w:rsid w:val="00AD75EB"/>
    <w:rsid w:val="00AE29A1"/>
    <w:rsid w:val="00AE350B"/>
    <w:rsid w:val="00AE4A0C"/>
    <w:rsid w:val="00AF4A6F"/>
    <w:rsid w:val="00AF6D44"/>
    <w:rsid w:val="00B132E3"/>
    <w:rsid w:val="00B15A8A"/>
    <w:rsid w:val="00B16FE4"/>
    <w:rsid w:val="00B214DE"/>
    <w:rsid w:val="00B4459C"/>
    <w:rsid w:val="00B53BA9"/>
    <w:rsid w:val="00B54889"/>
    <w:rsid w:val="00B56BCB"/>
    <w:rsid w:val="00B62BFD"/>
    <w:rsid w:val="00B631FC"/>
    <w:rsid w:val="00B64851"/>
    <w:rsid w:val="00B64E6C"/>
    <w:rsid w:val="00B67A99"/>
    <w:rsid w:val="00B77987"/>
    <w:rsid w:val="00B82214"/>
    <w:rsid w:val="00B9296F"/>
    <w:rsid w:val="00B92DD6"/>
    <w:rsid w:val="00B95B6F"/>
    <w:rsid w:val="00B97CAC"/>
    <w:rsid w:val="00BA25A7"/>
    <w:rsid w:val="00BA3F5A"/>
    <w:rsid w:val="00BB33DA"/>
    <w:rsid w:val="00BB564D"/>
    <w:rsid w:val="00BE3263"/>
    <w:rsid w:val="00BF0401"/>
    <w:rsid w:val="00BF0BD8"/>
    <w:rsid w:val="00BF6957"/>
    <w:rsid w:val="00C010FE"/>
    <w:rsid w:val="00C06434"/>
    <w:rsid w:val="00C105DB"/>
    <w:rsid w:val="00C12573"/>
    <w:rsid w:val="00C200A5"/>
    <w:rsid w:val="00C2120C"/>
    <w:rsid w:val="00C27F23"/>
    <w:rsid w:val="00C35DFD"/>
    <w:rsid w:val="00C35EEC"/>
    <w:rsid w:val="00C375D8"/>
    <w:rsid w:val="00C40A27"/>
    <w:rsid w:val="00C51564"/>
    <w:rsid w:val="00C6780D"/>
    <w:rsid w:val="00C72281"/>
    <w:rsid w:val="00C77482"/>
    <w:rsid w:val="00C87379"/>
    <w:rsid w:val="00CA1617"/>
    <w:rsid w:val="00CA7DC9"/>
    <w:rsid w:val="00CB24AB"/>
    <w:rsid w:val="00CB50B6"/>
    <w:rsid w:val="00CC5826"/>
    <w:rsid w:val="00CD335B"/>
    <w:rsid w:val="00CE117D"/>
    <w:rsid w:val="00CE2B25"/>
    <w:rsid w:val="00CE7CB0"/>
    <w:rsid w:val="00CF037E"/>
    <w:rsid w:val="00CF4A0C"/>
    <w:rsid w:val="00D01E81"/>
    <w:rsid w:val="00D05FC8"/>
    <w:rsid w:val="00D10CAF"/>
    <w:rsid w:val="00D1158E"/>
    <w:rsid w:val="00D14AE0"/>
    <w:rsid w:val="00D16F5B"/>
    <w:rsid w:val="00D2403C"/>
    <w:rsid w:val="00D25056"/>
    <w:rsid w:val="00D305B9"/>
    <w:rsid w:val="00D37D05"/>
    <w:rsid w:val="00D53C0A"/>
    <w:rsid w:val="00D55FD4"/>
    <w:rsid w:val="00D60F22"/>
    <w:rsid w:val="00D64001"/>
    <w:rsid w:val="00D73B37"/>
    <w:rsid w:val="00D82870"/>
    <w:rsid w:val="00D86EB7"/>
    <w:rsid w:val="00D876E3"/>
    <w:rsid w:val="00DA31F7"/>
    <w:rsid w:val="00DB10FF"/>
    <w:rsid w:val="00DB2F93"/>
    <w:rsid w:val="00DC2920"/>
    <w:rsid w:val="00DC5458"/>
    <w:rsid w:val="00DE3B1C"/>
    <w:rsid w:val="00DE7C92"/>
    <w:rsid w:val="00DF1F4B"/>
    <w:rsid w:val="00DF73E3"/>
    <w:rsid w:val="00E02CB4"/>
    <w:rsid w:val="00E06A03"/>
    <w:rsid w:val="00E07785"/>
    <w:rsid w:val="00E14C72"/>
    <w:rsid w:val="00E1690A"/>
    <w:rsid w:val="00E24C52"/>
    <w:rsid w:val="00E27B11"/>
    <w:rsid w:val="00E322C5"/>
    <w:rsid w:val="00E400AC"/>
    <w:rsid w:val="00E41049"/>
    <w:rsid w:val="00E420CA"/>
    <w:rsid w:val="00E50A9A"/>
    <w:rsid w:val="00E52510"/>
    <w:rsid w:val="00E535E5"/>
    <w:rsid w:val="00E665AC"/>
    <w:rsid w:val="00E66901"/>
    <w:rsid w:val="00E7058C"/>
    <w:rsid w:val="00E7228D"/>
    <w:rsid w:val="00E77AFF"/>
    <w:rsid w:val="00E80319"/>
    <w:rsid w:val="00E85EBC"/>
    <w:rsid w:val="00E908C4"/>
    <w:rsid w:val="00E947E6"/>
    <w:rsid w:val="00E94A30"/>
    <w:rsid w:val="00E9790C"/>
    <w:rsid w:val="00EA19B4"/>
    <w:rsid w:val="00EB3505"/>
    <w:rsid w:val="00EC58FD"/>
    <w:rsid w:val="00ED4F9E"/>
    <w:rsid w:val="00EE2322"/>
    <w:rsid w:val="00EE4696"/>
    <w:rsid w:val="00EE5DF1"/>
    <w:rsid w:val="00EE6F6C"/>
    <w:rsid w:val="00EE78E6"/>
    <w:rsid w:val="00EF04ED"/>
    <w:rsid w:val="00F00CE6"/>
    <w:rsid w:val="00F01C6A"/>
    <w:rsid w:val="00F121C2"/>
    <w:rsid w:val="00F12443"/>
    <w:rsid w:val="00F16B33"/>
    <w:rsid w:val="00F20C86"/>
    <w:rsid w:val="00F256D1"/>
    <w:rsid w:val="00F27761"/>
    <w:rsid w:val="00F3262B"/>
    <w:rsid w:val="00F4237B"/>
    <w:rsid w:val="00F43D91"/>
    <w:rsid w:val="00F5238E"/>
    <w:rsid w:val="00F551AB"/>
    <w:rsid w:val="00F567D7"/>
    <w:rsid w:val="00F611A4"/>
    <w:rsid w:val="00F61264"/>
    <w:rsid w:val="00F6282A"/>
    <w:rsid w:val="00F67674"/>
    <w:rsid w:val="00F77441"/>
    <w:rsid w:val="00F83670"/>
    <w:rsid w:val="00F84966"/>
    <w:rsid w:val="00F95DA5"/>
    <w:rsid w:val="00FB13DD"/>
    <w:rsid w:val="00FC46B7"/>
    <w:rsid w:val="00FC6F36"/>
    <w:rsid w:val="00FE75FA"/>
    <w:rsid w:val="00FF27DF"/>
    <w:rsid w:val="00FF341F"/>
    <w:rsid w:val="00FF5C5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4D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00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top">
    <w:name w:val="Heading top"/>
    <w:basedOn w:val="Balk1"/>
    <w:link w:val="HeadingtopChar"/>
    <w:autoRedefine/>
    <w:rsid w:val="001F4832"/>
    <w:pPr>
      <w:keepNext w:val="0"/>
      <w:keepLines w:val="0"/>
      <w:spacing w:before="0" w:line="240" w:lineRule="exact"/>
      <w:outlineLvl w:val="9"/>
    </w:pPr>
    <w:rPr>
      <w:rFonts w:ascii="ING Me" w:eastAsia="SimSun" w:hAnsi="ING Me" w:cs="Arial"/>
      <w:b/>
      <w:color w:val="44546A" w:themeColor="text2"/>
      <w:sz w:val="18"/>
      <w:szCs w:val="18"/>
      <w:lang w:eastAsia="nl-NL"/>
    </w:rPr>
  </w:style>
  <w:style w:type="paragraph" w:customStyle="1" w:styleId="HeadingDatum">
    <w:name w:val="Heading Datum"/>
    <w:basedOn w:val="Normal"/>
    <w:qFormat/>
    <w:rsid w:val="00F00CE6"/>
    <w:pPr>
      <w:framePr w:hSpace="141" w:wrap="auto" w:vAnchor="text" w:hAnchor="margin" w:y="270"/>
      <w:spacing w:after="0" w:line="240" w:lineRule="exact"/>
      <w:jc w:val="right"/>
    </w:pPr>
    <w:rPr>
      <w:rFonts w:ascii="Arial" w:eastAsia="SimSun" w:hAnsi="Arial" w:cs="Arial"/>
      <w:color w:val="000000"/>
      <w:sz w:val="20"/>
      <w:szCs w:val="20"/>
      <w:lang w:val="en-GB" w:eastAsia="nl-NL"/>
    </w:rPr>
  </w:style>
  <w:style w:type="character" w:customStyle="1" w:styleId="HeadingtopChar">
    <w:name w:val="Heading top Char"/>
    <w:link w:val="Headingtop"/>
    <w:rsid w:val="001F4832"/>
    <w:rPr>
      <w:rFonts w:ascii="ING Me" w:eastAsia="SimSun" w:hAnsi="ING Me" w:cs="Arial"/>
      <w:b/>
      <w:color w:val="44546A" w:themeColor="text2"/>
      <w:sz w:val="18"/>
      <w:szCs w:val="18"/>
      <w:lang w:eastAsia="nl-NL"/>
    </w:rPr>
  </w:style>
  <w:style w:type="character" w:customStyle="1" w:styleId="Balk1Char">
    <w:name w:val="Başlık 1 Char"/>
    <w:basedOn w:val="VarsaylanParagrafYazTipi"/>
    <w:link w:val="Balk1"/>
    <w:uiPriority w:val="9"/>
    <w:rsid w:val="00F00CE6"/>
    <w:rPr>
      <w:rFonts w:asciiTheme="majorHAnsi" w:eastAsiaTheme="majorEastAsia" w:hAnsiTheme="majorHAnsi" w:cstheme="majorBidi"/>
      <w:color w:val="2E74B5" w:themeColor="accent1" w:themeShade="BF"/>
      <w:sz w:val="32"/>
      <w:szCs w:val="32"/>
    </w:rPr>
  </w:style>
  <w:style w:type="character" w:styleId="AklamaBavurusu">
    <w:name w:val="annotation reference"/>
    <w:basedOn w:val="VarsaylanParagrafYazTipi"/>
    <w:uiPriority w:val="99"/>
    <w:semiHidden/>
    <w:unhideWhenUsed/>
    <w:rsid w:val="00403122"/>
    <w:rPr>
      <w:sz w:val="16"/>
      <w:szCs w:val="16"/>
    </w:rPr>
  </w:style>
  <w:style w:type="paragraph" w:styleId="AklamaMetni">
    <w:name w:val="annotation text"/>
    <w:basedOn w:val="Normal"/>
    <w:link w:val="AklamaMetniChar"/>
    <w:uiPriority w:val="99"/>
    <w:semiHidden/>
    <w:unhideWhenUsed/>
    <w:rsid w:val="004031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3122"/>
    <w:rPr>
      <w:sz w:val="20"/>
      <w:szCs w:val="20"/>
    </w:rPr>
  </w:style>
  <w:style w:type="paragraph" w:styleId="AklamaKonusu">
    <w:name w:val="annotation subject"/>
    <w:basedOn w:val="AklamaMetni"/>
    <w:next w:val="AklamaMetni"/>
    <w:link w:val="AklamaKonusuChar"/>
    <w:uiPriority w:val="99"/>
    <w:semiHidden/>
    <w:unhideWhenUsed/>
    <w:rsid w:val="00403122"/>
    <w:rPr>
      <w:b/>
      <w:bCs/>
    </w:rPr>
  </w:style>
  <w:style w:type="character" w:customStyle="1" w:styleId="AklamaKonusuChar">
    <w:name w:val="Açıklama Konusu Char"/>
    <w:basedOn w:val="AklamaMetniChar"/>
    <w:link w:val="AklamaKonusu"/>
    <w:uiPriority w:val="99"/>
    <w:semiHidden/>
    <w:rsid w:val="00403122"/>
    <w:rPr>
      <w:b/>
      <w:bCs/>
      <w:sz w:val="20"/>
      <w:szCs w:val="20"/>
    </w:rPr>
  </w:style>
  <w:style w:type="paragraph" w:styleId="BalonMetni">
    <w:name w:val="Balloon Text"/>
    <w:basedOn w:val="Normal"/>
    <w:link w:val="BalonMetniChar"/>
    <w:uiPriority w:val="99"/>
    <w:semiHidden/>
    <w:unhideWhenUsed/>
    <w:rsid w:val="004031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3122"/>
    <w:rPr>
      <w:rFonts w:ascii="Segoe UI" w:hAnsi="Segoe UI" w:cs="Segoe UI"/>
      <w:sz w:val="18"/>
      <w:szCs w:val="18"/>
    </w:rPr>
  </w:style>
  <w:style w:type="character" w:styleId="Kpr">
    <w:name w:val="Hyperlink"/>
    <w:basedOn w:val="VarsaylanParagrafYazTipi"/>
    <w:uiPriority w:val="99"/>
    <w:unhideWhenUsed/>
    <w:rsid w:val="00D64001"/>
    <w:rPr>
      <w:color w:val="0563C1" w:themeColor="hyperlink"/>
      <w:u w:val="single"/>
    </w:rPr>
  </w:style>
  <w:style w:type="paragraph" w:styleId="ListeParagraf">
    <w:name w:val="List Paragraph"/>
    <w:basedOn w:val="Normal"/>
    <w:uiPriority w:val="34"/>
    <w:qFormat/>
    <w:rsid w:val="00FF5C59"/>
    <w:pPr>
      <w:spacing w:line="240" w:lineRule="auto"/>
      <w:ind w:left="708"/>
    </w:pPr>
    <w:rPr>
      <w:rFonts w:eastAsia="SimSun" w:cs="Times New Roman"/>
      <w:sz w:val="20"/>
      <w:szCs w:val="24"/>
      <w:lang w:val="en-GB" w:eastAsia="nl-NL"/>
    </w:rPr>
  </w:style>
  <w:style w:type="table" w:styleId="TabloKlavuzu">
    <w:name w:val="Table Grid"/>
    <w:basedOn w:val="NormalTablo"/>
    <w:uiPriority w:val="99"/>
    <w:rsid w:val="0077355E"/>
    <w:pPr>
      <w:spacing w:after="0" w:line="240" w:lineRule="auto"/>
    </w:pPr>
    <w:rPr>
      <w:rFonts w:ascii="Times New Roman" w:eastAsia="SimSu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835F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35F0D"/>
    <w:rPr>
      <w:sz w:val="20"/>
      <w:szCs w:val="20"/>
    </w:rPr>
  </w:style>
  <w:style w:type="character" w:styleId="DipnotBavurusu">
    <w:name w:val="footnote reference"/>
    <w:basedOn w:val="VarsaylanParagrafYazTipi"/>
    <w:uiPriority w:val="99"/>
    <w:semiHidden/>
    <w:unhideWhenUsed/>
    <w:rsid w:val="00835F0D"/>
    <w:rPr>
      <w:vertAlign w:val="superscript"/>
    </w:rPr>
  </w:style>
  <w:style w:type="paragraph" w:styleId="SonnotMetni">
    <w:name w:val="endnote text"/>
    <w:basedOn w:val="Normal"/>
    <w:link w:val="SonnotMetniChar"/>
    <w:uiPriority w:val="99"/>
    <w:semiHidden/>
    <w:unhideWhenUsed/>
    <w:rsid w:val="00835F0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35F0D"/>
    <w:rPr>
      <w:sz w:val="20"/>
      <w:szCs w:val="20"/>
    </w:rPr>
  </w:style>
  <w:style w:type="character" w:styleId="SonnotBavurusu">
    <w:name w:val="endnote reference"/>
    <w:basedOn w:val="VarsaylanParagrafYazTipi"/>
    <w:uiPriority w:val="99"/>
    <w:semiHidden/>
    <w:unhideWhenUsed/>
    <w:rsid w:val="00835F0D"/>
    <w:rPr>
      <w:vertAlign w:val="superscript"/>
    </w:rPr>
  </w:style>
  <w:style w:type="table" w:customStyle="1" w:styleId="TableGrid1">
    <w:name w:val="Table Grid1"/>
    <w:basedOn w:val="NormalTablo"/>
    <w:next w:val="TabloKlavuzu"/>
    <w:uiPriority w:val="99"/>
    <w:rsid w:val="00727AA0"/>
    <w:pPr>
      <w:spacing w:after="0" w:line="240" w:lineRule="auto"/>
    </w:pPr>
    <w:rPr>
      <w:rFonts w:ascii="Times New Roman" w:eastAsia="SimSu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183222425546430637msolistparagraph">
    <w:name w:val="m_1183222425546430637msolistparagraph"/>
    <w:basedOn w:val="Normal"/>
    <w:rsid w:val="00F95D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95D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876642416361468816msonospacing">
    <w:name w:val="m_876642416361468816msonospacing"/>
    <w:basedOn w:val="Normal"/>
    <w:rsid w:val="000677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4833970025875954642gmail-il">
    <w:name w:val="m_-4833970025875954642gmail-il"/>
    <w:basedOn w:val="VarsaylanParagrafYazTipi"/>
    <w:rsid w:val="00D876E3"/>
  </w:style>
  <w:style w:type="character" w:customStyle="1" w:styleId="il">
    <w:name w:val="il"/>
    <w:basedOn w:val="VarsaylanParagrafYazTipi"/>
    <w:rsid w:val="00D876E3"/>
  </w:style>
  <w:style w:type="paragraph" w:customStyle="1" w:styleId="m-1315549000815639599msolistparagraph">
    <w:name w:val="m_-1315549000815639599msolistparagraph"/>
    <w:basedOn w:val="Normal"/>
    <w:rsid w:val="003E6F3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398">
      <w:bodyDiv w:val="1"/>
      <w:marLeft w:val="0"/>
      <w:marRight w:val="0"/>
      <w:marTop w:val="0"/>
      <w:marBottom w:val="0"/>
      <w:divBdr>
        <w:top w:val="none" w:sz="0" w:space="0" w:color="auto"/>
        <w:left w:val="none" w:sz="0" w:space="0" w:color="auto"/>
        <w:bottom w:val="none" w:sz="0" w:space="0" w:color="auto"/>
        <w:right w:val="none" w:sz="0" w:space="0" w:color="auto"/>
      </w:divBdr>
    </w:div>
    <w:div w:id="183444713">
      <w:bodyDiv w:val="1"/>
      <w:marLeft w:val="0"/>
      <w:marRight w:val="0"/>
      <w:marTop w:val="0"/>
      <w:marBottom w:val="0"/>
      <w:divBdr>
        <w:top w:val="none" w:sz="0" w:space="0" w:color="auto"/>
        <w:left w:val="none" w:sz="0" w:space="0" w:color="auto"/>
        <w:bottom w:val="none" w:sz="0" w:space="0" w:color="auto"/>
        <w:right w:val="none" w:sz="0" w:space="0" w:color="auto"/>
      </w:divBdr>
    </w:div>
    <w:div w:id="214632429">
      <w:bodyDiv w:val="1"/>
      <w:marLeft w:val="0"/>
      <w:marRight w:val="0"/>
      <w:marTop w:val="0"/>
      <w:marBottom w:val="0"/>
      <w:divBdr>
        <w:top w:val="none" w:sz="0" w:space="0" w:color="auto"/>
        <w:left w:val="none" w:sz="0" w:space="0" w:color="auto"/>
        <w:bottom w:val="none" w:sz="0" w:space="0" w:color="auto"/>
        <w:right w:val="none" w:sz="0" w:space="0" w:color="auto"/>
      </w:divBdr>
    </w:div>
    <w:div w:id="275599375">
      <w:bodyDiv w:val="1"/>
      <w:marLeft w:val="0"/>
      <w:marRight w:val="0"/>
      <w:marTop w:val="0"/>
      <w:marBottom w:val="0"/>
      <w:divBdr>
        <w:top w:val="none" w:sz="0" w:space="0" w:color="auto"/>
        <w:left w:val="none" w:sz="0" w:space="0" w:color="auto"/>
        <w:bottom w:val="none" w:sz="0" w:space="0" w:color="auto"/>
        <w:right w:val="none" w:sz="0" w:space="0" w:color="auto"/>
      </w:divBdr>
      <w:divsChild>
        <w:div w:id="630523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10102">
      <w:bodyDiv w:val="1"/>
      <w:marLeft w:val="0"/>
      <w:marRight w:val="0"/>
      <w:marTop w:val="0"/>
      <w:marBottom w:val="0"/>
      <w:divBdr>
        <w:top w:val="none" w:sz="0" w:space="0" w:color="auto"/>
        <w:left w:val="none" w:sz="0" w:space="0" w:color="auto"/>
        <w:bottom w:val="none" w:sz="0" w:space="0" w:color="auto"/>
        <w:right w:val="none" w:sz="0" w:space="0" w:color="auto"/>
      </w:divBdr>
    </w:div>
    <w:div w:id="375276220">
      <w:bodyDiv w:val="1"/>
      <w:marLeft w:val="0"/>
      <w:marRight w:val="0"/>
      <w:marTop w:val="0"/>
      <w:marBottom w:val="0"/>
      <w:divBdr>
        <w:top w:val="none" w:sz="0" w:space="0" w:color="auto"/>
        <w:left w:val="none" w:sz="0" w:space="0" w:color="auto"/>
        <w:bottom w:val="none" w:sz="0" w:space="0" w:color="auto"/>
        <w:right w:val="none" w:sz="0" w:space="0" w:color="auto"/>
      </w:divBdr>
    </w:div>
    <w:div w:id="450515632">
      <w:bodyDiv w:val="1"/>
      <w:marLeft w:val="0"/>
      <w:marRight w:val="0"/>
      <w:marTop w:val="0"/>
      <w:marBottom w:val="0"/>
      <w:divBdr>
        <w:top w:val="none" w:sz="0" w:space="0" w:color="auto"/>
        <w:left w:val="none" w:sz="0" w:space="0" w:color="auto"/>
        <w:bottom w:val="none" w:sz="0" w:space="0" w:color="auto"/>
        <w:right w:val="none" w:sz="0" w:space="0" w:color="auto"/>
      </w:divBdr>
    </w:div>
    <w:div w:id="516818456">
      <w:bodyDiv w:val="1"/>
      <w:marLeft w:val="0"/>
      <w:marRight w:val="0"/>
      <w:marTop w:val="0"/>
      <w:marBottom w:val="0"/>
      <w:divBdr>
        <w:top w:val="none" w:sz="0" w:space="0" w:color="auto"/>
        <w:left w:val="none" w:sz="0" w:space="0" w:color="auto"/>
        <w:bottom w:val="none" w:sz="0" w:space="0" w:color="auto"/>
        <w:right w:val="none" w:sz="0" w:space="0" w:color="auto"/>
      </w:divBdr>
    </w:div>
    <w:div w:id="545063427">
      <w:bodyDiv w:val="1"/>
      <w:marLeft w:val="0"/>
      <w:marRight w:val="0"/>
      <w:marTop w:val="0"/>
      <w:marBottom w:val="0"/>
      <w:divBdr>
        <w:top w:val="none" w:sz="0" w:space="0" w:color="auto"/>
        <w:left w:val="none" w:sz="0" w:space="0" w:color="auto"/>
        <w:bottom w:val="none" w:sz="0" w:space="0" w:color="auto"/>
        <w:right w:val="none" w:sz="0" w:space="0" w:color="auto"/>
      </w:divBdr>
      <w:divsChild>
        <w:div w:id="324821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128325">
              <w:marLeft w:val="0"/>
              <w:marRight w:val="0"/>
              <w:marTop w:val="0"/>
              <w:marBottom w:val="0"/>
              <w:divBdr>
                <w:top w:val="none" w:sz="0" w:space="0" w:color="auto"/>
                <w:left w:val="none" w:sz="0" w:space="0" w:color="auto"/>
                <w:bottom w:val="none" w:sz="0" w:space="0" w:color="auto"/>
                <w:right w:val="none" w:sz="0" w:space="0" w:color="auto"/>
              </w:divBdr>
              <w:divsChild>
                <w:div w:id="1251352982">
                  <w:marLeft w:val="0"/>
                  <w:marRight w:val="0"/>
                  <w:marTop w:val="0"/>
                  <w:marBottom w:val="0"/>
                  <w:divBdr>
                    <w:top w:val="none" w:sz="0" w:space="0" w:color="auto"/>
                    <w:left w:val="none" w:sz="0" w:space="0" w:color="auto"/>
                    <w:bottom w:val="none" w:sz="0" w:space="0" w:color="auto"/>
                    <w:right w:val="none" w:sz="0" w:space="0" w:color="auto"/>
                  </w:divBdr>
                  <w:divsChild>
                    <w:div w:id="1931161642">
                      <w:marLeft w:val="0"/>
                      <w:marRight w:val="0"/>
                      <w:marTop w:val="0"/>
                      <w:marBottom w:val="0"/>
                      <w:divBdr>
                        <w:top w:val="none" w:sz="0" w:space="0" w:color="auto"/>
                        <w:left w:val="none" w:sz="0" w:space="0" w:color="auto"/>
                        <w:bottom w:val="none" w:sz="0" w:space="0" w:color="auto"/>
                        <w:right w:val="none" w:sz="0" w:space="0" w:color="auto"/>
                      </w:divBdr>
                      <w:divsChild>
                        <w:div w:id="1741978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8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42289">
      <w:bodyDiv w:val="1"/>
      <w:marLeft w:val="0"/>
      <w:marRight w:val="0"/>
      <w:marTop w:val="0"/>
      <w:marBottom w:val="0"/>
      <w:divBdr>
        <w:top w:val="none" w:sz="0" w:space="0" w:color="auto"/>
        <w:left w:val="none" w:sz="0" w:space="0" w:color="auto"/>
        <w:bottom w:val="none" w:sz="0" w:space="0" w:color="auto"/>
        <w:right w:val="none" w:sz="0" w:space="0" w:color="auto"/>
      </w:divBdr>
    </w:div>
    <w:div w:id="681518059">
      <w:bodyDiv w:val="1"/>
      <w:marLeft w:val="0"/>
      <w:marRight w:val="0"/>
      <w:marTop w:val="0"/>
      <w:marBottom w:val="0"/>
      <w:divBdr>
        <w:top w:val="none" w:sz="0" w:space="0" w:color="auto"/>
        <w:left w:val="none" w:sz="0" w:space="0" w:color="auto"/>
        <w:bottom w:val="none" w:sz="0" w:space="0" w:color="auto"/>
        <w:right w:val="none" w:sz="0" w:space="0" w:color="auto"/>
      </w:divBdr>
    </w:div>
    <w:div w:id="716323361">
      <w:bodyDiv w:val="1"/>
      <w:marLeft w:val="0"/>
      <w:marRight w:val="0"/>
      <w:marTop w:val="0"/>
      <w:marBottom w:val="0"/>
      <w:divBdr>
        <w:top w:val="none" w:sz="0" w:space="0" w:color="auto"/>
        <w:left w:val="none" w:sz="0" w:space="0" w:color="auto"/>
        <w:bottom w:val="none" w:sz="0" w:space="0" w:color="auto"/>
        <w:right w:val="none" w:sz="0" w:space="0" w:color="auto"/>
      </w:divBdr>
    </w:div>
    <w:div w:id="823278651">
      <w:bodyDiv w:val="1"/>
      <w:marLeft w:val="0"/>
      <w:marRight w:val="0"/>
      <w:marTop w:val="0"/>
      <w:marBottom w:val="0"/>
      <w:divBdr>
        <w:top w:val="none" w:sz="0" w:space="0" w:color="auto"/>
        <w:left w:val="none" w:sz="0" w:space="0" w:color="auto"/>
        <w:bottom w:val="none" w:sz="0" w:space="0" w:color="auto"/>
        <w:right w:val="none" w:sz="0" w:space="0" w:color="auto"/>
      </w:divBdr>
    </w:div>
    <w:div w:id="837310817">
      <w:bodyDiv w:val="1"/>
      <w:marLeft w:val="0"/>
      <w:marRight w:val="0"/>
      <w:marTop w:val="0"/>
      <w:marBottom w:val="0"/>
      <w:divBdr>
        <w:top w:val="none" w:sz="0" w:space="0" w:color="auto"/>
        <w:left w:val="none" w:sz="0" w:space="0" w:color="auto"/>
        <w:bottom w:val="none" w:sz="0" w:space="0" w:color="auto"/>
        <w:right w:val="none" w:sz="0" w:space="0" w:color="auto"/>
      </w:divBdr>
    </w:div>
    <w:div w:id="841313852">
      <w:bodyDiv w:val="1"/>
      <w:marLeft w:val="0"/>
      <w:marRight w:val="0"/>
      <w:marTop w:val="0"/>
      <w:marBottom w:val="0"/>
      <w:divBdr>
        <w:top w:val="none" w:sz="0" w:space="0" w:color="auto"/>
        <w:left w:val="none" w:sz="0" w:space="0" w:color="auto"/>
        <w:bottom w:val="none" w:sz="0" w:space="0" w:color="auto"/>
        <w:right w:val="none" w:sz="0" w:space="0" w:color="auto"/>
      </w:divBdr>
    </w:div>
    <w:div w:id="854463800">
      <w:bodyDiv w:val="1"/>
      <w:marLeft w:val="0"/>
      <w:marRight w:val="0"/>
      <w:marTop w:val="0"/>
      <w:marBottom w:val="0"/>
      <w:divBdr>
        <w:top w:val="none" w:sz="0" w:space="0" w:color="auto"/>
        <w:left w:val="none" w:sz="0" w:space="0" w:color="auto"/>
        <w:bottom w:val="none" w:sz="0" w:space="0" w:color="auto"/>
        <w:right w:val="none" w:sz="0" w:space="0" w:color="auto"/>
      </w:divBdr>
    </w:div>
    <w:div w:id="871184210">
      <w:bodyDiv w:val="1"/>
      <w:marLeft w:val="0"/>
      <w:marRight w:val="0"/>
      <w:marTop w:val="0"/>
      <w:marBottom w:val="0"/>
      <w:divBdr>
        <w:top w:val="none" w:sz="0" w:space="0" w:color="auto"/>
        <w:left w:val="none" w:sz="0" w:space="0" w:color="auto"/>
        <w:bottom w:val="none" w:sz="0" w:space="0" w:color="auto"/>
        <w:right w:val="none" w:sz="0" w:space="0" w:color="auto"/>
      </w:divBdr>
    </w:div>
    <w:div w:id="898395160">
      <w:bodyDiv w:val="1"/>
      <w:marLeft w:val="0"/>
      <w:marRight w:val="0"/>
      <w:marTop w:val="0"/>
      <w:marBottom w:val="0"/>
      <w:divBdr>
        <w:top w:val="none" w:sz="0" w:space="0" w:color="auto"/>
        <w:left w:val="none" w:sz="0" w:space="0" w:color="auto"/>
        <w:bottom w:val="none" w:sz="0" w:space="0" w:color="auto"/>
        <w:right w:val="none" w:sz="0" w:space="0" w:color="auto"/>
      </w:divBdr>
    </w:div>
    <w:div w:id="1004210637">
      <w:bodyDiv w:val="1"/>
      <w:marLeft w:val="0"/>
      <w:marRight w:val="0"/>
      <w:marTop w:val="0"/>
      <w:marBottom w:val="0"/>
      <w:divBdr>
        <w:top w:val="none" w:sz="0" w:space="0" w:color="auto"/>
        <w:left w:val="none" w:sz="0" w:space="0" w:color="auto"/>
        <w:bottom w:val="none" w:sz="0" w:space="0" w:color="auto"/>
        <w:right w:val="none" w:sz="0" w:space="0" w:color="auto"/>
      </w:divBdr>
    </w:div>
    <w:div w:id="1027948907">
      <w:bodyDiv w:val="1"/>
      <w:marLeft w:val="0"/>
      <w:marRight w:val="0"/>
      <w:marTop w:val="0"/>
      <w:marBottom w:val="0"/>
      <w:divBdr>
        <w:top w:val="none" w:sz="0" w:space="0" w:color="auto"/>
        <w:left w:val="none" w:sz="0" w:space="0" w:color="auto"/>
        <w:bottom w:val="none" w:sz="0" w:space="0" w:color="auto"/>
        <w:right w:val="none" w:sz="0" w:space="0" w:color="auto"/>
      </w:divBdr>
    </w:div>
    <w:div w:id="1152672263">
      <w:bodyDiv w:val="1"/>
      <w:marLeft w:val="0"/>
      <w:marRight w:val="0"/>
      <w:marTop w:val="0"/>
      <w:marBottom w:val="0"/>
      <w:divBdr>
        <w:top w:val="none" w:sz="0" w:space="0" w:color="auto"/>
        <w:left w:val="none" w:sz="0" w:space="0" w:color="auto"/>
        <w:bottom w:val="none" w:sz="0" w:space="0" w:color="auto"/>
        <w:right w:val="none" w:sz="0" w:space="0" w:color="auto"/>
      </w:divBdr>
    </w:div>
    <w:div w:id="1165629573">
      <w:bodyDiv w:val="1"/>
      <w:marLeft w:val="0"/>
      <w:marRight w:val="0"/>
      <w:marTop w:val="0"/>
      <w:marBottom w:val="0"/>
      <w:divBdr>
        <w:top w:val="none" w:sz="0" w:space="0" w:color="auto"/>
        <w:left w:val="none" w:sz="0" w:space="0" w:color="auto"/>
        <w:bottom w:val="none" w:sz="0" w:space="0" w:color="auto"/>
        <w:right w:val="none" w:sz="0" w:space="0" w:color="auto"/>
      </w:divBdr>
    </w:div>
    <w:div w:id="1173645449">
      <w:bodyDiv w:val="1"/>
      <w:marLeft w:val="0"/>
      <w:marRight w:val="0"/>
      <w:marTop w:val="0"/>
      <w:marBottom w:val="0"/>
      <w:divBdr>
        <w:top w:val="none" w:sz="0" w:space="0" w:color="auto"/>
        <w:left w:val="none" w:sz="0" w:space="0" w:color="auto"/>
        <w:bottom w:val="none" w:sz="0" w:space="0" w:color="auto"/>
        <w:right w:val="none" w:sz="0" w:space="0" w:color="auto"/>
      </w:divBdr>
    </w:div>
    <w:div w:id="1194999694">
      <w:bodyDiv w:val="1"/>
      <w:marLeft w:val="0"/>
      <w:marRight w:val="0"/>
      <w:marTop w:val="0"/>
      <w:marBottom w:val="0"/>
      <w:divBdr>
        <w:top w:val="none" w:sz="0" w:space="0" w:color="auto"/>
        <w:left w:val="none" w:sz="0" w:space="0" w:color="auto"/>
        <w:bottom w:val="none" w:sz="0" w:space="0" w:color="auto"/>
        <w:right w:val="none" w:sz="0" w:space="0" w:color="auto"/>
      </w:divBdr>
    </w:div>
    <w:div w:id="1225793453">
      <w:bodyDiv w:val="1"/>
      <w:marLeft w:val="0"/>
      <w:marRight w:val="0"/>
      <w:marTop w:val="0"/>
      <w:marBottom w:val="0"/>
      <w:divBdr>
        <w:top w:val="none" w:sz="0" w:space="0" w:color="auto"/>
        <w:left w:val="none" w:sz="0" w:space="0" w:color="auto"/>
        <w:bottom w:val="none" w:sz="0" w:space="0" w:color="auto"/>
        <w:right w:val="none" w:sz="0" w:space="0" w:color="auto"/>
      </w:divBdr>
    </w:div>
    <w:div w:id="1226376405">
      <w:bodyDiv w:val="1"/>
      <w:marLeft w:val="0"/>
      <w:marRight w:val="0"/>
      <w:marTop w:val="0"/>
      <w:marBottom w:val="0"/>
      <w:divBdr>
        <w:top w:val="none" w:sz="0" w:space="0" w:color="auto"/>
        <w:left w:val="none" w:sz="0" w:space="0" w:color="auto"/>
        <w:bottom w:val="none" w:sz="0" w:space="0" w:color="auto"/>
        <w:right w:val="none" w:sz="0" w:space="0" w:color="auto"/>
      </w:divBdr>
      <w:divsChild>
        <w:div w:id="719792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0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3050">
      <w:bodyDiv w:val="1"/>
      <w:marLeft w:val="0"/>
      <w:marRight w:val="0"/>
      <w:marTop w:val="0"/>
      <w:marBottom w:val="0"/>
      <w:divBdr>
        <w:top w:val="none" w:sz="0" w:space="0" w:color="auto"/>
        <w:left w:val="none" w:sz="0" w:space="0" w:color="auto"/>
        <w:bottom w:val="none" w:sz="0" w:space="0" w:color="auto"/>
        <w:right w:val="none" w:sz="0" w:space="0" w:color="auto"/>
      </w:divBdr>
      <w:divsChild>
        <w:div w:id="704673677">
          <w:marLeft w:val="720"/>
          <w:marRight w:val="0"/>
          <w:marTop w:val="120"/>
          <w:marBottom w:val="120"/>
          <w:divBdr>
            <w:top w:val="none" w:sz="0" w:space="0" w:color="auto"/>
            <w:left w:val="none" w:sz="0" w:space="0" w:color="auto"/>
            <w:bottom w:val="none" w:sz="0" w:space="0" w:color="auto"/>
            <w:right w:val="none" w:sz="0" w:space="0" w:color="auto"/>
          </w:divBdr>
        </w:div>
        <w:div w:id="1016691919">
          <w:marLeft w:val="720"/>
          <w:marRight w:val="0"/>
          <w:marTop w:val="120"/>
          <w:marBottom w:val="120"/>
          <w:divBdr>
            <w:top w:val="none" w:sz="0" w:space="0" w:color="auto"/>
            <w:left w:val="none" w:sz="0" w:space="0" w:color="auto"/>
            <w:bottom w:val="none" w:sz="0" w:space="0" w:color="auto"/>
            <w:right w:val="none" w:sz="0" w:space="0" w:color="auto"/>
          </w:divBdr>
        </w:div>
      </w:divsChild>
    </w:div>
    <w:div w:id="1362974145">
      <w:bodyDiv w:val="1"/>
      <w:marLeft w:val="0"/>
      <w:marRight w:val="0"/>
      <w:marTop w:val="0"/>
      <w:marBottom w:val="0"/>
      <w:divBdr>
        <w:top w:val="none" w:sz="0" w:space="0" w:color="auto"/>
        <w:left w:val="none" w:sz="0" w:space="0" w:color="auto"/>
        <w:bottom w:val="none" w:sz="0" w:space="0" w:color="auto"/>
        <w:right w:val="none" w:sz="0" w:space="0" w:color="auto"/>
      </w:divBdr>
    </w:div>
    <w:div w:id="1411080304">
      <w:bodyDiv w:val="1"/>
      <w:marLeft w:val="0"/>
      <w:marRight w:val="0"/>
      <w:marTop w:val="0"/>
      <w:marBottom w:val="0"/>
      <w:divBdr>
        <w:top w:val="none" w:sz="0" w:space="0" w:color="auto"/>
        <w:left w:val="none" w:sz="0" w:space="0" w:color="auto"/>
        <w:bottom w:val="none" w:sz="0" w:space="0" w:color="auto"/>
        <w:right w:val="none" w:sz="0" w:space="0" w:color="auto"/>
      </w:divBdr>
    </w:div>
    <w:div w:id="1493176309">
      <w:bodyDiv w:val="1"/>
      <w:marLeft w:val="0"/>
      <w:marRight w:val="0"/>
      <w:marTop w:val="0"/>
      <w:marBottom w:val="0"/>
      <w:divBdr>
        <w:top w:val="none" w:sz="0" w:space="0" w:color="auto"/>
        <w:left w:val="none" w:sz="0" w:space="0" w:color="auto"/>
        <w:bottom w:val="none" w:sz="0" w:space="0" w:color="auto"/>
        <w:right w:val="none" w:sz="0" w:space="0" w:color="auto"/>
      </w:divBdr>
    </w:div>
    <w:div w:id="1498687742">
      <w:bodyDiv w:val="1"/>
      <w:marLeft w:val="0"/>
      <w:marRight w:val="0"/>
      <w:marTop w:val="0"/>
      <w:marBottom w:val="0"/>
      <w:divBdr>
        <w:top w:val="none" w:sz="0" w:space="0" w:color="auto"/>
        <w:left w:val="none" w:sz="0" w:space="0" w:color="auto"/>
        <w:bottom w:val="none" w:sz="0" w:space="0" w:color="auto"/>
        <w:right w:val="none" w:sz="0" w:space="0" w:color="auto"/>
      </w:divBdr>
      <w:divsChild>
        <w:div w:id="637347378">
          <w:marLeft w:val="0"/>
          <w:marRight w:val="0"/>
          <w:marTop w:val="0"/>
          <w:marBottom w:val="0"/>
          <w:divBdr>
            <w:top w:val="none" w:sz="0" w:space="0" w:color="auto"/>
            <w:left w:val="none" w:sz="0" w:space="0" w:color="auto"/>
            <w:bottom w:val="none" w:sz="0" w:space="0" w:color="auto"/>
            <w:right w:val="none" w:sz="0" w:space="0" w:color="auto"/>
          </w:divBdr>
        </w:div>
      </w:divsChild>
    </w:div>
    <w:div w:id="1589389417">
      <w:bodyDiv w:val="1"/>
      <w:marLeft w:val="0"/>
      <w:marRight w:val="0"/>
      <w:marTop w:val="0"/>
      <w:marBottom w:val="0"/>
      <w:divBdr>
        <w:top w:val="none" w:sz="0" w:space="0" w:color="auto"/>
        <w:left w:val="none" w:sz="0" w:space="0" w:color="auto"/>
        <w:bottom w:val="none" w:sz="0" w:space="0" w:color="auto"/>
        <w:right w:val="none" w:sz="0" w:space="0" w:color="auto"/>
      </w:divBdr>
    </w:div>
    <w:div w:id="1589920720">
      <w:bodyDiv w:val="1"/>
      <w:marLeft w:val="0"/>
      <w:marRight w:val="0"/>
      <w:marTop w:val="0"/>
      <w:marBottom w:val="0"/>
      <w:divBdr>
        <w:top w:val="none" w:sz="0" w:space="0" w:color="auto"/>
        <w:left w:val="none" w:sz="0" w:space="0" w:color="auto"/>
        <w:bottom w:val="none" w:sz="0" w:space="0" w:color="auto"/>
        <w:right w:val="none" w:sz="0" w:space="0" w:color="auto"/>
      </w:divBdr>
    </w:div>
    <w:div w:id="1599946394">
      <w:bodyDiv w:val="1"/>
      <w:marLeft w:val="0"/>
      <w:marRight w:val="0"/>
      <w:marTop w:val="0"/>
      <w:marBottom w:val="0"/>
      <w:divBdr>
        <w:top w:val="none" w:sz="0" w:space="0" w:color="auto"/>
        <w:left w:val="none" w:sz="0" w:space="0" w:color="auto"/>
        <w:bottom w:val="none" w:sz="0" w:space="0" w:color="auto"/>
        <w:right w:val="none" w:sz="0" w:space="0" w:color="auto"/>
      </w:divBdr>
    </w:div>
    <w:div w:id="1604610798">
      <w:bodyDiv w:val="1"/>
      <w:marLeft w:val="0"/>
      <w:marRight w:val="0"/>
      <w:marTop w:val="0"/>
      <w:marBottom w:val="0"/>
      <w:divBdr>
        <w:top w:val="none" w:sz="0" w:space="0" w:color="auto"/>
        <w:left w:val="none" w:sz="0" w:space="0" w:color="auto"/>
        <w:bottom w:val="none" w:sz="0" w:space="0" w:color="auto"/>
        <w:right w:val="none" w:sz="0" w:space="0" w:color="auto"/>
      </w:divBdr>
    </w:div>
    <w:div w:id="1618172149">
      <w:bodyDiv w:val="1"/>
      <w:marLeft w:val="0"/>
      <w:marRight w:val="0"/>
      <w:marTop w:val="0"/>
      <w:marBottom w:val="0"/>
      <w:divBdr>
        <w:top w:val="none" w:sz="0" w:space="0" w:color="auto"/>
        <w:left w:val="none" w:sz="0" w:space="0" w:color="auto"/>
        <w:bottom w:val="none" w:sz="0" w:space="0" w:color="auto"/>
        <w:right w:val="none" w:sz="0" w:space="0" w:color="auto"/>
      </w:divBdr>
      <w:divsChild>
        <w:div w:id="1127045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302893">
              <w:marLeft w:val="0"/>
              <w:marRight w:val="0"/>
              <w:marTop w:val="0"/>
              <w:marBottom w:val="0"/>
              <w:divBdr>
                <w:top w:val="none" w:sz="0" w:space="0" w:color="auto"/>
                <w:left w:val="none" w:sz="0" w:space="0" w:color="auto"/>
                <w:bottom w:val="none" w:sz="0" w:space="0" w:color="auto"/>
                <w:right w:val="none" w:sz="0" w:space="0" w:color="auto"/>
              </w:divBdr>
              <w:divsChild>
                <w:div w:id="79318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2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8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269810">
              <w:marLeft w:val="0"/>
              <w:marRight w:val="0"/>
              <w:marTop w:val="0"/>
              <w:marBottom w:val="0"/>
              <w:divBdr>
                <w:top w:val="none" w:sz="0" w:space="0" w:color="auto"/>
                <w:left w:val="none" w:sz="0" w:space="0" w:color="auto"/>
                <w:bottom w:val="none" w:sz="0" w:space="0" w:color="auto"/>
                <w:right w:val="none" w:sz="0" w:space="0" w:color="auto"/>
              </w:divBdr>
              <w:divsChild>
                <w:div w:id="34105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9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407">
      <w:bodyDiv w:val="1"/>
      <w:marLeft w:val="0"/>
      <w:marRight w:val="0"/>
      <w:marTop w:val="0"/>
      <w:marBottom w:val="0"/>
      <w:divBdr>
        <w:top w:val="none" w:sz="0" w:space="0" w:color="auto"/>
        <w:left w:val="none" w:sz="0" w:space="0" w:color="auto"/>
        <w:bottom w:val="none" w:sz="0" w:space="0" w:color="auto"/>
        <w:right w:val="none" w:sz="0" w:space="0" w:color="auto"/>
      </w:divBdr>
    </w:div>
    <w:div w:id="1634486884">
      <w:bodyDiv w:val="1"/>
      <w:marLeft w:val="0"/>
      <w:marRight w:val="0"/>
      <w:marTop w:val="0"/>
      <w:marBottom w:val="0"/>
      <w:divBdr>
        <w:top w:val="none" w:sz="0" w:space="0" w:color="auto"/>
        <w:left w:val="none" w:sz="0" w:space="0" w:color="auto"/>
        <w:bottom w:val="none" w:sz="0" w:space="0" w:color="auto"/>
        <w:right w:val="none" w:sz="0" w:space="0" w:color="auto"/>
      </w:divBdr>
    </w:div>
    <w:div w:id="1673069447">
      <w:bodyDiv w:val="1"/>
      <w:marLeft w:val="0"/>
      <w:marRight w:val="0"/>
      <w:marTop w:val="0"/>
      <w:marBottom w:val="0"/>
      <w:divBdr>
        <w:top w:val="none" w:sz="0" w:space="0" w:color="auto"/>
        <w:left w:val="none" w:sz="0" w:space="0" w:color="auto"/>
        <w:bottom w:val="none" w:sz="0" w:space="0" w:color="auto"/>
        <w:right w:val="none" w:sz="0" w:space="0" w:color="auto"/>
      </w:divBdr>
    </w:div>
    <w:div w:id="1684165927">
      <w:bodyDiv w:val="1"/>
      <w:marLeft w:val="0"/>
      <w:marRight w:val="0"/>
      <w:marTop w:val="0"/>
      <w:marBottom w:val="0"/>
      <w:divBdr>
        <w:top w:val="none" w:sz="0" w:space="0" w:color="auto"/>
        <w:left w:val="none" w:sz="0" w:space="0" w:color="auto"/>
        <w:bottom w:val="none" w:sz="0" w:space="0" w:color="auto"/>
        <w:right w:val="none" w:sz="0" w:space="0" w:color="auto"/>
      </w:divBdr>
    </w:div>
    <w:div w:id="1741714482">
      <w:bodyDiv w:val="1"/>
      <w:marLeft w:val="0"/>
      <w:marRight w:val="0"/>
      <w:marTop w:val="0"/>
      <w:marBottom w:val="0"/>
      <w:divBdr>
        <w:top w:val="none" w:sz="0" w:space="0" w:color="auto"/>
        <w:left w:val="none" w:sz="0" w:space="0" w:color="auto"/>
        <w:bottom w:val="none" w:sz="0" w:space="0" w:color="auto"/>
        <w:right w:val="none" w:sz="0" w:space="0" w:color="auto"/>
      </w:divBdr>
    </w:div>
    <w:div w:id="1896313451">
      <w:bodyDiv w:val="1"/>
      <w:marLeft w:val="0"/>
      <w:marRight w:val="0"/>
      <w:marTop w:val="0"/>
      <w:marBottom w:val="0"/>
      <w:divBdr>
        <w:top w:val="none" w:sz="0" w:space="0" w:color="auto"/>
        <w:left w:val="none" w:sz="0" w:space="0" w:color="auto"/>
        <w:bottom w:val="none" w:sz="0" w:space="0" w:color="auto"/>
        <w:right w:val="none" w:sz="0" w:space="0" w:color="auto"/>
      </w:divBdr>
    </w:div>
    <w:div w:id="1898122153">
      <w:bodyDiv w:val="1"/>
      <w:marLeft w:val="0"/>
      <w:marRight w:val="0"/>
      <w:marTop w:val="0"/>
      <w:marBottom w:val="0"/>
      <w:divBdr>
        <w:top w:val="none" w:sz="0" w:space="0" w:color="auto"/>
        <w:left w:val="none" w:sz="0" w:space="0" w:color="auto"/>
        <w:bottom w:val="none" w:sz="0" w:space="0" w:color="auto"/>
        <w:right w:val="none" w:sz="0" w:space="0" w:color="auto"/>
      </w:divBdr>
      <w:divsChild>
        <w:div w:id="156968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9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5878">
      <w:bodyDiv w:val="1"/>
      <w:marLeft w:val="0"/>
      <w:marRight w:val="0"/>
      <w:marTop w:val="0"/>
      <w:marBottom w:val="0"/>
      <w:divBdr>
        <w:top w:val="none" w:sz="0" w:space="0" w:color="auto"/>
        <w:left w:val="none" w:sz="0" w:space="0" w:color="auto"/>
        <w:bottom w:val="none" w:sz="0" w:space="0" w:color="auto"/>
        <w:right w:val="none" w:sz="0" w:space="0" w:color="auto"/>
      </w:divBdr>
      <w:divsChild>
        <w:div w:id="422729283">
          <w:marLeft w:val="0"/>
          <w:marRight w:val="0"/>
          <w:marTop w:val="0"/>
          <w:marBottom w:val="0"/>
          <w:divBdr>
            <w:top w:val="none" w:sz="0" w:space="0" w:color="auto"/>
            <w:left w:val="none" w:sz="0" w:space="0" w:color="auto"/>
            <w:bottom w:val="double" w:sz="6" w:space="1" w:color="auto"/>
            <w:right w:val="none" w:sz="0" w:space="0" w:color="auto"/>
          </w:divBdr>
        </w:div>
      </w:divsChild>
    </w:div>
    <w:div w:id="1943798269">
      <w:bodyDiv w:val="1"/>
      <w:marLeft w:val="0"/>
      <w:marRight w:val="0"/>
      <w:marTop w:val="0"/>
      <w:marBottom w:val="0"/>
      <w:divBdr>
        <w:top w:val="none" w:sz="0" w:space="0" w:color="auto"/>
        <w:left w:val="none" w:sz="0" w:space="0" w:color="auto"/>
        <w:bottom w:val="none" w:sz="0" w:space="0" w:color="auto"/>
        <w:right w:val="none" w:sz="0" w:space="0" w:color="auto"/>
      </w:divBdr>
    </w:div>
    <w:div w:id="1991639066">
      <w:bodyDiv w:val="1"/>
      <w:marLeft w:val="0"/>
      <w:marRight w:val="0"/>
      <w:marTop w:val="0"/>
      <w:marBottom w:val="0"/>
      <w:divBdr>
        <w:top w:val="none" w:sz="0" w:space="0" w:color="auto"/>
        <w:left w:val="none" w:sz="0" w:space="0" w:color="auto"/>
        <w:bottom w:val="none" w:sz="0" w:space="0" w:color="auto"/>
        <w:right w:val="none" w:sz="0" w:space="0" w:color="auto"/>
      </w:divBdr>
    </w:div>
    <w:div w:id="2005550128">
      <w:bodyDiv w:val="1"/>
      <w:marLeft w:val="0"/>
      <w:marRight w:val="0"/>
      <w:marTop w:val="0"/>
      <w:marBottom w:val="0"/>
      <w:divBdr>
        <w:top w:val="none" w:sz="0" w:space="0" w:color="auto"/>
        <w:left w:val="none" w:sz="0" w:space="0" w:color="auto"/>
        <w:bottom w:val="none" w:sz="0" w:space="0" w:color="auto"/>
        <w:right w:val="none" w:sz="0" w:space="0" w:color="auto"/>
      </w:divBdr>
    </w:div>
    <w:div w:id="2012945038">
      <w:bodyDiv w:val="1"/>
      <w:marLeft w:val="0"/>
      <w:marRight w:val="0"/>
      <w:marTop w:val="0"/>
      <w:marBottom w:val="0"/>
      <w:divBdr>
        <w:top w:val="none" w:sz="0" w:space="0" w:color="auto"/>
        <w:left w:val="none" w:sz="0" w:space="0" w:color="auto"/>
        <w:bottom w:val="none" w:sz="0" w:space="0" w:color="auto"/>
        <w:right w:val="none" w:sz="0" w:space="0" w:color="auto"/>
      </w:divBdr>
      <w:divsChild>
        <w:div w:id="372534179">
          <w:marLeft w:val="547"/>
          <w:marRight w:val="0"/>
          <w:marTop w:val="120"/>
          <w:marBottom w:val="120"/>
          <w:divBdr>
            <w:top w:val="none" w:sz="0" w:space="0" w:color="auto"/>
            <w:left w:val="none" w:sz="0" w:space="0" w:color="auto"/>
            <w:bottom w:val="none" w:sz="0" w:space="0" w:color="auto"/>
            <w:right w:val="none" w:sz="0" w:space="0" w:color="auto"/>
          </w:divBdr>
        </w:div>
      </w:divsChild>
    </w:div>
    <w:div w:id="2018187945">
      <w:bodyDiv w:val="1"/>
      <w:marLeft w:val="0"/>
      <w:marRight w:val="0"/>
      <w:marTop w:val="0"/>
      <w:marBottom w:val="0"/>
      <w:divBdr>
        <w:top w:val="none" w:sz="0" w:space="0" w:color="auto"/>
        <w:left w:val="none" w:sz="0" w:space="0" w:color="auto"/>
        <w:bottom w:val="none" w:sz="0" w:space="0" w:color="auto"/>
        <w:right w:val="none" w:sz="0" w:space="0" w:color="auto"/>
      </w:divBdr>
    </w:div>
    <w:div w:id="2083477530">
      <w:bodyDiv w:val="1"/>
      <w:marLeft w:val="0"/>
      <w:marRight w:val="0"/>
      <w:marTop w:val="0"/>
      <w:marBottom w:val="0"/>
      <w:divBdr>
        <w:top w:val="none" w:sz="0" w:space="0" w:color="auto"/>
        <w:left w:val="none" w:sz="0" w:space="0" w:color="auto"/>
        <w:bottom w:val="none" w:sz="0" w:space="0" w:color="auto"/>
        <w:right w:val="none" w:sz="0" w:space="0" w:color="auto"/>
      </w:divBdr>
    </w:div>
    <w:div w:id="20897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ukiyetekdemir@insulailetisim.com" TargetMode="External"/><Relationship Id="rId4" Type="http://schemas.openxmlformats.org/officeDocument/2006/relationships/settings" Target="settings.xml"/><Relationship Id="rId9" Type="http://schemas.openxmlformats.org/officeDocument/2006/relationships/hyperlink" Target="http://inga.a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0C5B1-62E6-4BC4-B4BC-38D2C7AD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1117</Words>
  <Characters>6368</Characters>
  <Application>Microsoft Office Word</Application>
  <DocSecurity>0</DocSecurity>
  <Lines>53</Lines>
  <Paragraphs>14</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HP</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user7</cp:lastModifiedBy>
  <cp:revision>19</cp:revision>
  <dcterms:created xsi:type="dcterms:W3CDTF">2020-05-15T13:06:00Z</dcterms:created>
  <dcterms:modified xsi:type="dcterms:W3CDTF">2020-11-11T14:40:00Z</dcterms:modified>
</cp:coreProperties>
</file>